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60" w:rsidRDefault="00C90860">
      <w:pPr>
        <w:adjustRightInd w:val="0"/>
        <w:snapToGrid w:val="0"/>
        <w:spacing w:line="574" w:lineRule="exact"/>
        <w:jc w:val="center"/>
        <w:rPr>
          <w:rFonts w:ascii="仿宋_GB2312" w:eastAsia="仿宋_GB2312"/>
          <w:sz w:val="32"/>
          <w:szCs w:val="32"/>
          <w:highlight w:val="yellow"/>
        </w:rPr>
      </w:pPr>
    </w:p>
    <w:p w:rsidR="00C90860" w:rsidRDefault="00C90860">
      <w:pPr>
        <w:adjustRightInd w:val="0"/>
        <w:snapToGrid w:val="0"/>
        <w:spacing w:line="574" w:lineRule="exact"/>
        <w:ind w:left="640" w:hangingChars="200" w:hanging="640"/>
        <w:jc w:val="center"/>
        <w:rPr>
          <w:rFonts w:ascii="仿宋_GB2312" w:eastAsia="仿宋_GB2312"/>
          <w:sz w:val="32"/>
          <w:szCs w:val="32"/>
        </w:rPr>
      </w:pPr>
    </w:p>
    <w:p w:rsidR="00C90860" w:rsidRDefault="00C90860">
      <w:pPr>
        <w:adjustRightInd w:val="0"/>
        <w:snapToGrid w:val="0"/>
        <w:spacing w:line="574" w:lineRule="exact"/>
        <w:ind w:left="640" w:hangingChars="200" w:hanging="640"/>
        <w:jc w:val="center"/>
        <w:rPr>
          <w:rFonts w:ascii="仿宋_GB2312" w:eastAsia="仿宋_GB2312"/>
          <w:sz w:val="32"/>
          <w:szCs w:val="32"/>
        </w:rPr>
      </w:pPr>
    </w:p>
    <w:p w:rsidR="00C90860" w:rsidRDefault="00C90860">
      <w:pPr>
        <w:adjustRightInd w:val="0"/>
        <w:snapToGrid w:val="0"/>
        <w:spacing w:line="574" w:lineRule="exact"/>
        <w:ind w:left="640" w:hangingChars="200" w:hanging="640"/>
        <w:jc w:val="center"/>
        <w:rPr>
          <w:rFonts w:ascii="仿宋_GB2312" w:eastAsia="仿宋_GB2312"/>
          <w:sz w:val="32"/>
          <w:szCs w:val="32"/>
        </w:rPr>
      </w:pPr>
    </w:p>
    <w:p w:rsidR="00C90860" w:rsidRDefault="00C90860">
      <w:pPr>
        <w:adjustRightInd w:val="0"/>
        <w:snapToGrid w:val="0"/>
        <w:spacing w:line="574" w:lineRule="exact"/>
        <w:ind w:left="640" w:hangingChars="200" w:hanging="640"/>
        <w:jc w:val="center"/>
        <w:rPr>
          <w:rFonts w:ascii="仿宋_GB2312" w:eastAsia="仿宋_GB2312"/>
          <w:sz w:val="32"/>
          <w:szCs w:val="32"/>
        </w:rPr>
      </w:pPr>
    </w:p>
    <w:p w:rsidR="00C90860" w:rsidRDefault="00C90860">
      <w:pPr>
        <w:adjustRightInd w:val="0"/>
        <w:snapToGrid w:val="0"/>
        <w:spacing w:line="574" w:lineRule="exact"/>
        <w:ind w:left="640" w:hangingChars="200" w:hanging="640"/>
        <w:jc w:val="center"/>
        <w:rPr>
          <w:rFonts w:ascii="仿宋_GB2312" w:eastAsia="仿宋_GB2312"/>
          <w:sz w:val="32"/>
          <w:szCs w:val="32"/>
        </w:rPr>
      </w:pPr>
    </w:p>
    <w:p w:rsidR="00C90860" w:rsidRDefault="00C90860">
      <w:pPr>
        <w:adjustRightInd w:val="0"/>
        <w:snapToGrid w:val="0"/>
        <w:spacing w:line="574" w:lineRule="exact"/>
        <w:ind w:left="640" w:hangingChars="200" w:hanging="640"/>
        <w:jc w:val="center"/>
        <w:rPr>
          <w:rFonts w:ascii="仿宋_GB2312" w:eastAsia="仿宋_GB2312"/>
          <w:sz w:val="32"/>
          <w:szCs w:val="32"/>
        </w:rPr>
      </w:pPr>
    </w:p>
    <w:p w:rsidR="00C90860" w:rsidRDefault="00EF28C2">
      <w:pPr>
        <w:adjustRightInd w:val="0"/>
        <w:snapToGrid w:val="0"/>
        <w:spacing w:line="574" w:lineRule="exact"/>
        <w:jc w:val="center"/>
        <w:rPr>
          <w:rFonts w:ascii="仿宋_GB2312" w:eastAsia="仿宋_GB2312"/>
          <w:color w:val="000000"/>
          <w:sz w:val="32"/>
          <w:szCs w:val="32"/>
        </w:rPr>
      </w:pPr>
      <w:proofErr w:type="gramStart"/>
      <w:r>
        <w:rPr>
          <w:rFonts w:ascii="仿宋_GB2312" w:eastAsia="仿宋_GB2312" w:hint="eastAsia"/>
          <w:color w:val="000000"/>
          <w:sz w:val="32"/>
          <w:szCs w:val="32"/>
        </w:rPr>
        <w:t>西建大</w:t>
      </w:r>
      <w:proofErr w:type="gramEnd"/>
      <w:r>
        <w:rPr>
          <w:rFonts w:ascii="仿宋_GB2312" w:eastAsia="仿宋_GB2312" w:hint="eastAsia"/>
          <w:color w:val="000000"/>
          <w:sz w:val="32"/>
          <w:szCs w:val="32"/>
        </w:rPr>
        <w:t>〔</w:t>
      </w:r>
      <w:r>
        <w:rPr>
          <w:rFonts w:ascii="仿宋_GB2312" w:eastAsia="仿宋_GB2312" w:hint="eastAsia"/>
          <w:color w:val="000000"/>
          <w:sz w:val="32"/>
          <w:szCs w:val="32"/>
        </w:rPr>
        <w:t>2017</w:t>
      </w:r>
      <w:r>
        <w:rPr>
          <w:rFonts w:ascii="仿宋_GB2312" w:eastAsia="仿宋_GB2312" w:hint="eastAsia"/>
          <w:color w:val="00000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号</w:t>
      </w:r>
    </w:p>
    <w:p w:rsidR="00C90860" w:rsidRDefault="00C90860">
      <w:pPr>
        <w:adjustRightInd w:val="0"/>
        <w:snapToGrid w:val="0"/>
        <w:spacing w:line="574" w:lineRule="exact"/>
        <w:ind w:left="720" w:hangingChars="200" w:hanging="720"/>
        <w:jc w:val="center"/>
        <w:rPr>
          <w:rFonts w:ascii="仿宋_GB2312" w:eastAsia="仿宋_GB2312"/>
          <w:sz w:val="36"/>
          <w:szCs w:val="36"/>
        </w:rPr>
      </w:pPr>
    </w:p>
    <w:p w:rsidR="00C90860" w:rsidRDefault="00C90860">
      <w:pPr>
        <w:adjustRightInd w:val="0"/>
        <w:snapToGrid w:val="0"/>
        <w:spacing w:line="574" w:lineRule="exact"/>
        <w:jc w:val="center"/>
        <w:rPr>
          <w:rFonts w:ascii="方正小标宋简体" w:eastAsia="方正小标宋简体"/>
          <w:sz w:val="44"/>
          <w:szCs w:val="44"/>
        </w:rPr>
      </w:pPr>
    </w:p>
    <w:p w:rsidR="00C90860" w:rsidRDefault="00EF28C2">
      <w:pPr>
        <w:spacing w:line="574"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关于印发</w:t>
      </w:r>
      <w:proofErr w:type="gramStart"/>
      <w:r>
        <w:rPr>
          <w:rFonts w:ascii="方正小标宋简体" w:eastAsia="方正小标宋简体" w:hAnsi="华文中宋" w:hint="eastAsia"/>
          <w:sz w:val="44"/>
          <w:szCs w:val="44"/>
        </w:rPr>
        <w:t>《</w:t>
      </w:r>
      <w:proofErr w:type="gramEnd"/>
      <w:r>
        <w:rPr>
          <w:rFonts w:ascii="方正小标宋简体" w:eastAsia="方正小标宋简体" w:hAnsi="华文中宋" w:hint="eastAsia"/>
          <w:sz w:val="44"/>
          <w:szCs w:val="44"/>
        </w:rPr>
        <w:t>西安建筑科技大学</w:t>
      </w:r>
      <w:r>
        <w:rPr>
          <w:rFonts w:ascii="方正小标宋简体" w:eastAsia="方正小标宋简体" w:hAnsi="华文中宋" w:hint="eastAsia"/>
          <w:sz w:val="44"/>
          <w:szCs w:val="44"/>
        </w:rPr>
        <w:t>博士研究生</w:t>
      </w:r>
    </w:p>
    <w:p w:rsidR="00C90860" w:rsidRDefault="00EF28C2">
      <w:pPr>
        <w:spacing w:line="574" w:lineRule="exact"/>
        <w:jc w:val="center"/>
        <w:rPr>
          <w:rFonts w:ascii="华文中宋" w:eastAsia="华文中宋" w:hAnsi="华文中宋"/>
          <w:sz w:val="44"/>
          <w:szCs w:val="44"/>
        </w:rPr>
      </w:pPr>
      <w:r>
        <w:rPr>
          <w:rFonts w:ascii="方正小标宋简体" w:eastAsia="方正小标宋简体" w:hAnsi="华文中宋" w:hint="eastAsia"/>
          <w:sz w:val="44"/>
          <w:szCs w:val="44"/>
        </w:rPr>
        <w:t>招生选拔实施办法</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C90860" w:rsidRDefault="00C90860">
      <w:pPr>
        <w:adjustRightInd w:val="0"/>
        <w:snapToGrid w:val="0"/>
        <w:spacing w:line="574" w:lineRule="exact"/>
        <w:rPr>
          <w:rFonts w:ascii="仿宋_GB2312" w:eastAsia="仿宋_GB2312" w:hAnsi="华文中宋"/>
          <w:sz w:val="32"/>
          <w:szCs w:val="32"/>
        </w:rPr>
      </w:pPr>
    </w:p>
    <w:p w:rsidR="00C90860" w:rsidRDefault="00EF28C2">
      <w:pPr>
        <w:adjustRightInd w:val="0"/>
        <w:snapToGrid w:val="0"/>
        <w:spacing w:line="574" w:lineRule="exact"/>
        <w:rPr>
          <w:rFonts w:ascii="仿宋_GB2312" w:eastAsia="仿宋_GB2312" w:hAnsi="仿宋"/>
          <w:sz w:val="32"/>
          <w:szCs w:val="32"/>
        </w:rPr>
      </w:pPr>
      <w:r>
        <w:rPr>
          <w:rFonts w:ascii="仿宋_GB2312" w:eastAsia="仿宋_GB2312" w:hAnsi="仿宋" w:hint="eastAsia"/>
          <w:sz w:val="32"/>
          <w:szCs w:val="32"/>
        </w:rPr>
        <w:t>各院（系），各相关单位：</w:t>
      </w:r>
    </w:p>
    <w:p w:rsidR="00C90860" w:rsidRDefault="00EF28C2">
      <w:pPr>
        <w:adjustRightInd w:val="0"/>
        <w:snapToGrid w:val="0"/>
        <w:spacing w:line="574"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《西安建筑科技大学博士研究生招生选拔实施办法》已经校长办公会研究通过，现印发给你们，</w:t>
      </w:r>
      <w:r>
        <w:rPr>
          <w:rFonts w:ascii="仿宋_GB2312" w:eastAsia="仿宋_GB2312" w:hAnsi="仿宋_GB2312" w:cs="仿宋_GB2312" w:hint="eastAsia"/>
          <w:kern w:val="0"/>
          <w:sz w:val="32"/>
          <w:szCs w:val="32"/>
        </w:rPr>
        <w:t>请认真传达学习，并遵照执行。</w:t>
      </w:r>
    </w:p>
    <w:p w:rsidR="00C90860" w:rsidRDefault="00C90860">
      <w:pPr>
        <w:adjustRightInd w:val="0"/>
        <w:snapToGrid w:val="0"/>
        <w:spacing w:line="574" w:lineRule="exact"/>
        <w:ind w:firstLineChars="200" w:firstLine="640"/>
        <w:rPr>
          <w:rFonts w:ascii="仿宋_GB2312" w:eastAsia="仿宋_GB2312" w:hAnsi="华文中宋"/>
          <w:sz w:val="32"/>
          <w:szCs w:val="32"/>
        </w:rPr>
      </w:pPr>
    </w:p>
    <w:p w:rsidR="00C90860" w:rsidRDefault="00C90860">
      <w:pPr>
        <w:adjustRightInd w:val="0"/>
        <w:snapToGrid w:val="0"/>
        <w:spacing w:line="574" w:lineRule="exact"/>
        <w:ind w:firstLineChars="200" w:firstLine="640"/>
        <w:rPr>
          <w:rFonts w:ascii="仿宋_GB2312" w:eastAsia="仿宋_GB2312" w:hAnsi="华文中宋"/>
          <w:sz w:val="32"/>
          <w:szCs w:val="32"/>
        </w:rPr>
      </w:pPr>
    </w:p>
    <w:p w:rsidR="00C90860" w:rsidRDefault="00EF28C2">
      <w:pPr>
        <w:wordWrap w:val="0"/>
        <w:adjustRightInd w:val="0"/>
        <w:snapToGrid w:val="0"/>
        <w:spacing w:line="574" w:lineRule="exact"/>
        <w:ind w:firstLineChars="200" w:firstLine="640"/>
        <w:jc w:val="right"/>
        <w:rPr>
          <w:rFonts w:ascii="仿宋_GB2312" w:eastAsia="仿宋_GB2312" w:hAnsi="华文中宋"/>
          <w:sz w:val="32"/>
          <w:szCs w:val="32"/>
        </w:rPr>
      </w:pPr>
      <w:r>
        <w:rPr>
          <w:rFonts w:ascii="仿宋_GB2312" w:eastAsia="仿宋_GB2312" w:hAnsi="华文中宋" w:hint="eastAsia"/>
          <w:sz w:val="32"/>
          <w:szCs w:val="32"/>
        </w:rPr>
        <w:t xml:space="preserve">      </w:t>
      </w:r>
      <w:r>
        <w:rPr>
          <w:rFonts w:ascii="仿宋_GB2312" w:eastAsia="仿宋_GB2312" w:hAnsi="华文中宋" w:hint="eastAsia"/>
          <w:sz w:val="32"/>
          <w:szCs w:val="32"/>
        </w:rPr>
        <w:t>西安建筑科技大学</w:t>
      </w:r>
      <w:r>
        <w:rPr>
          <w:rFonts w:ascii="仿宋_GB2312" w:eastAsia="仿宋_GB2312" w:hAnsi="华文中宋" w:hint="eastAsia"/>
          <w:sz w:val="32"/>
          <w:szCs w:val="32"/>
        </w:rPr>
        <w:t xml:space="preserve">        </w:t>
      </w:r>
    </w:p>
    <w:p w:rsidR="00C90860" w:rsidRDefault="00EF28C2">
      <w:pPr>
        <w:wordWrap w:val="0"/>
        <w:adjustRightInd w:val="0"/>
        <w:snapToGrid w:val="0"/>
        <w:spacing w:line="574"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                           </w:t>
      </w:r>
      <w:r>
        <w:rPr>
          <w:rFonts w:ascii="仿宋_GB2312" w:eastAsia="仿宋_GB2312" w:hAnsi="华文中宋"/>
          <w:sz w:val="32"/>
          <w:szCs w:val="32"/>
        </w:rPr>
        <w:t>201</w:t>
      </w:r>
      <w:r>
        <w:rPr>
          <w:rFonts w:ascii="仿宋_GB2312" w:eastAsia="仿宋_GB2312" w:hAnsi="华文中宋" w:hint="eastAsia"/>
          <w:sz w:val="32"/>
          <w:szCs w:val="32"/>
        </w:rPr>
        <w:t>7</w:t>
      </w:r>
      <w:r>
        <w:rPr>
          <w:rFonts w:ascii="仿宋_GB2312" w:eastAsia="仿宋_GB2312" w:hAnsi="华文中宋"/>
          <w:sz w:val="32"/>
          <w:szCs w:val="32"/>
        </w:rPr>
        <w:t>年</w:t>
      </w:r>
      <w:r>
        <w:rPr>
          <w:rFonts w:ascii="仿宋_GB2312" w:eastAsia="仿宋_GB2312" w:hAnsi="华文中宋"/>
          <w:sz w:val="32"/>
          <w:szCs w:val="32"/>
        </w:rPr>
        <w:t>10</w:t>
      </w:r>
      <w:r>
        <w:rPr>
          <w:rFonts w:ascii="仿宋_GB2312" w:eastAsia="仿宋_GB2312" w:hAnsi="华文中宋"/>
          <w:sz w:val="32"/>
          <w:szCs w:val="32"/>
        </w:rPr>
        <w:t>月</w:t>
      </w:r>
      <w:r>
        <w:rPr>
          <w:rFonts w:ascii="仿宋_GB2312" w:eastAsia="仿宋_GB2312" w:hAnsi="华文中宋" w:hint="eastAsia"/>
          <w:sz w:val="32"/>
          <w:szCs w:val="32"/>
        </w:rPr>
        <w:t>31</w:t>
      </w:r>
      <w:r>
        <w:rPr>
          <w:rFonts w:ascii="仿宋_GB2312" w:eastAsia="仿宋_GB2312" w:hAnsi="华文中宋"/>
          <w:sz w:val="32"/>
          <w:szCs w:val="32"/>
        </w:rPr>
        <w:t>日</w:t>
      </w:r>
      <w:r>
        <w:rPr>
          <w:rFonts w:ascii="仿宋_GB2312" w:eastAsia="仿宋_GB2312" w:hAnsi="华文中宋" w:hint="eastAsia"/>
          <w:sz w:val="32"/>
          <w:szCs w:val="32"/>
        </w:rPr>
        <w:t xml:space="preserve">  </w:t>
      </w:r>
    </w:p>
    <w:p w:rsidR="00C90860" w:rsidRDefault="00EF28C2">
      <w:pPr>
        <w:wordWrap w:val="0"/>
        <w:adjustRightInd w:val="0"/>
        <w:snapToGrid w:val="0"/>
        <w:spacing w:line="574" w:lineRule="exact"/>
        <w:ind w:firstLineChars="200" w:firstLine="640"/>
        <w:jc w:val="right"/>
        <w:rPr>
          <w:rFonts w:ascii="仿宋_GB2312" w:eastAsia="仿宋_GB2312" w:hAnsi="华文中宋"/>
          <w:sz w:val="32"/>
          <w:szCs w:val="32"/>
        </w:rPr>
      </w:pPr>
      <w:r>
        <w:rPr>
          <w:rFonts w:ascii="仿宋_GB2312" w:eastAsia="仿宋_GB2312" w:hAnsi="华文中宋" w:hint="eastAsia"/>
          <w:sz w:val="32"/>
          <w:szCs w:val="32"/>
        </w:rPr>
        <w:t xml:space="preserve">      </w:t>
      </w:r>
    </w:p>
    <w:p w:rsidR="00C90860" w:rsidRDefault="00C90860">
      <w:pPr>
        <w:spacing w:line="574" w:lineRule="exact"/>
        <w:jc w:val="center"/>
        <w:rPr>
          <w:rFonts w:ascii="方正小标宋简体" w:eastAsia="方正小标宋简体" w:hAnsi="华文中宋"/>
          <w:sz w:val="44"/>
          <w:szCs w:val="44"/>
        </w:rPr>
      </w:pPr>
    </w:p>
    <w:p w:rsidR="00C90860" w:rsidRDefault="00EF28C2">
      <w:pPr>
        <w:spacing w:line="574"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西安建筑科技大学</w:t>
      </w:r>
    </w:p>
    <w:p w:rsidR="00C90860" w:rsidRDefault="00EF28C2">
      <w:pPr>
        <w:spacing w:line="574"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博士研究生招生选拔实施办法</w:t>
      </w:r>
    </w:p>
    <w:p w:rsidR="00C90860" w:rsidRDefault="00C90860">
      <w:pPr>
        <w:spacing w:line="574" w:lineRule="exact"/>
        <w:jc w:val="center"/>
        <w:rPr>
          <w:rFonts w:ascii="方正小标宋简体" w:eastAsia="方正小标宋简体" w:hAnsi="华文中宋"/>
          <w:sz w:val="44"/>
          <w:szCs w:val="44"/>
        </w:rPr>
      </w:pP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为进一步深化博士研究生（以下简称博士生）招生制度改革，探索和构建多样化的选拔机制，扩大学科、学院及导师的招生自主权，选拔出理论基础扎实、科研创新能力强、具有培养潜质的优质生源，提高博士研究生的培养质量，结合我校实际，特制定本办法。</w:t>
      </w:r>
    </w:p>
    <w:p w:rsidR="00C90860" w:rsidRDefault="00EF28C2">
      <w:pPr>
        <w:spacing w:line="574" w:lineRule="exact"/>
        <w:ind w:firstLineChars="200" w:firstLine="640"/>
        <w:rPr>
          <w:rFonts w:ascii="黑体" w:eastAsia="黑体" w:hAnsi="华文仿宋"/>
          <w:bCs/>
          <w:sz w:val="32"/>
          <w:szCs w:val="32"/>
        </w:rPr>
      </w:pPr>
      <w:r>
        <w:rPr>
          <w:rFonts w:ascii="黑体" w:eastAsia="黑体" w:hAnsi="华文仿宋" w:hint="eastAsia"/>
          <w:bCs/>
          <w:sz w:val="32"/>
          <w:szCs w:val="32"/>
        </w:rPr>
        <w:t>一、选拔方式</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我校博士生招生采取硕博连读和普通招考两种方式。其中我校在籍全日制</w:t>
      </w:r>
      <w:r>
        <w:rPr>
          <w:rFonts w:ascii="仿宋_GB2312" w:eastAsia="仿宋_GB2312" w:hAnsi="华文仿宋"/>
          <w:sz w:val="32"/>
          <w:szCs w:val="32"/>
        </w:rPr>
        <w:t>学术学位</w:t>
      </w:r>
      <w:r>
        <w:rPr>
          <w:rFonts w:ascii="仿宋_GB2312" w:eastAsia="仿宋_GB2312" w:hAnsi="华文仿宋" w:hint="eastAsia"/>
          <w:sz w:val="32"/>
          <w:szCs w:val="32"/>
        </w:rPr>
        <w:t>一、二年级硕士生，采取硕博连读方</w:t>
      </w:r>
      <w:r w:rsidRPr="00EA0BEA">
        <w:rPr>
          <w:rFonts w:ascii="仿宋_GB2312" w:eastAsia="仿宋_GB2312" w:hAnsi="华文仿宋" w:hint="eastAsia"/>
          <w:sz w:val="32"/>
          <w:szCs w:val="32"/>
        </w:rPr>
        <w:t>式攻读博士学位研究生；硕士研究生毕业或已获硕士学位的人员、应届硕士毕业生、获得学士学位</w:t>
      </w:r>
      <w:r w:rsidRPr="00EA0BEA">
        <w:rPr>
          <w:rFonts w:ascii="仿宋_GB2312" w:eastAsia="仿宋_GB2312" w:hAnsi="华文仿宋" w:hint="eastAsia"/>
          <w:sz w:val="32"/>
          <w:szCs w:val="32"/>
        </w:rPr>
        <w:t>6</w:t>
      </w:r>
      <w:r w:rsidRPr="00EA0BEA">
        <w:rPr>
          <w:rFonts w:ascii="仿宋_GB2312" w:eastAsia="仿宋_GB2312" w:hAnsi="华文仿宋" w:hint="eastAsia"/>
          <w:sz w:val="32"/>
          <w:szCs w:val="32"/>
        </w:rPr>
        <w:t>年及以上达到与硕士毕业生同等学力的人员</w:t>
      </w:r>
      <w:r>
        <w:rPr>
          <w:rFonts w:ascii="仿宋_GB2312" w:eastAsia="仿宋_GB2312" w:hAnsi="华文仿宋" w:hint="eastAsia"/>
          <w:sz w:val="32"/>
          <w:szCs w:val="32"/>
        </w:rPr>
        <w:t>，采取普通招考方式攻读博士学位研究生</w:t>
      </w:r>
      <w:r>
        <w:rPr>
          <w:rFonts w:ascii="仿宋_GB2312" w:eastAsia="仿宋_GB2312" w:hAnsi="华文仿宋" w:hint="eastAsia"/>
          <w:sz w:val="32"/>
          <w:szCs w:val="32"/>
        </w:rPr>
        <w:t>，普通招考通过“申请</w:t>
      </w:r>
      <w:r>
        <w:rPr>
          <w:rFonts w:ascii="仿宋_GB2312" w:eastAsia="仿宋_GB2312" w:hAnsi="华文仿宋" w:hint="eastAsia"/>
          <w:sz w:val="32"/>
          <w:szCs w:val="32"/>
        </w:rPr>
        <w:t>-</w:t>
      </w:r>
      <w:r>
        <w:rPr>
          <w:rFonts w:ascii="仿宋_GB2312" w:eastAsia="仿宋_GB2312" w:hAnsi="华文仿宋" w:hint="eastAsia"/>
          <w:sz w:val="32"/>
          <w:szCs w:val="32"/>
        </w:rPr>
        <w:t>考核”程序选拔博士研究生。</w:t>
      </w:r>
      <w:bookmarkStart w:id="0" w:name="_GoBack"/>
      <w:bookmarkEnd w:id="0"/>
    </w:p>
    <w:p w:rsidR="00C90860" w:rsidRDefault="00EF28C2">
      <w:pPr>
        <w:spacing w:line="574" w:lineRule="exact"/>
        <w:ind w:firstLineChars="200" w:firstLine="640"/>
        <w:rPr>
          <w:rFonts w:ascii="黑体" w:eastAsia="黑体" w:hAnsi="华文仿宋"/>
          <w:bCs/>
          <w:sz w:val="32"/>
          <w:szCs w:val="32"/>
        </w:rPr>
      </w:pPr>
      <w:r>
        <w:rPr>
          <w:rFonts w:ascii="黑体" w:eastAsia="黑体" w:hAnsi="华文仿宋" w:hint="eastAsia"/>
          <w:bCs/>
          <w:sz w:val="32"/>
          <w:szCs w:val="32"/>
        </w:rPr>
        <w:t>二、硕博连读</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（一）选拔范围</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西安建筑科技大学在籍全日制学术学位硕士研究生（录取类别须为非定向）。</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（二）选拔条件</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申请硕博连读研究生，应符合以下条件：</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w:t>
      </w:r>
      <w:r>
        <w:rPr>
          <w:rFonts w:ascii="仿宋_GB2312" w:eastAsia="仿宋_GB2312" w:hAnsi="华文仿宋" w:hint="eastAsia"/>
          <w:sz w:val="32"/>
          <w:szCs w:val="32"/>
        </w:rPr>
        <w:t>拥护中国共产党的领导，品德良好，遵纪守法，勤奋学习，努力攀登科学高峰，愿为社会主义现代化建设服务。</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身心健康。</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hint="eastAsia"/>
          <w:sz w:val="32"/>
          <w:szCs w:val="32"/>
        </w:rPr>
        <w:t>研究生入学时已取得相关专业的学士学位，有较强的外语能力、创新精神和科研潜质。</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hint="eastAsia"/>
          <w:sz w:val="32"/>
          <w:szCs w:val="32"/>
        </w:rPr>
        <w:t>硕士一年级：推荐免试研究生，或当年度硕士研究生招生录取总成绩排名位于所在专业前</w:t>
      </w:r>
      <w:r>
        <w:rPr>
          <w:rFonts w:ascii="仿宋_GB2312" w:eastAsia="仿宋_GB2312" w:hAnsi="华文仿宋" w:hint="eastAsia"/>
          <w:sz w:val="32"/>
          <w:szCs w:val="32"/>
        </w:rPr>
        <w:t>30%</w:t>
      </w:r>
      <w:r>
        <w:rPr>
          <w:rFonts w:ascii="仿宋_GB2312" w:eastAsia="仿宋_GB2312" w:hAnsi="华文仿宋" w:hint="eastAsia"/>
          <w:sz w:val="32"/>
          <w:szCs w:val="32"/>
        </w:rPr>
        <w:t>。</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硕士二年级：须完成硕士阶段相应的课程学习，并需满足以下条件之一：</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学位课加权平均成绩在本学科排名位于前</w:t>
      </w:r>
      <w:r>
        <w:rPr>
          <w:rFonts w:ascii="仿宋_GB2312" w:eastAsia="仿宋_GB2312" w:hAnsi="华文仿宋" w:hint="eastAsia"/>
          <w:sz w:val="32"/>
          <w:szCs w:val="32"/>
        </w:rPr>
        <w:t>30%</w:t>
      </w:r>
      <w:r>
        <w:rPr>
          <w:rFonts w:ascii="仿宋_GB2312" w:eastAsia="仿宋_GB2312" w:hAnsi="华文仿宋" w:hint="eastAsia"/>
          <w:sz w:val="32"/>
          <w:szCs w:val="32"/>
        </w:rPr>
        <w:t>，且学位课无不及格门次。</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以第一作者（或导师第一、学生第二）发表</w:t>
      </w:r>
      <w:r>
        <w:rPr>
          <w:rFonts w:ascii="仿宋_GB2312" w:eastAsia="仿宋_GB2312" w:hAnsi="华文仿宋" w:hint="eastAsia"/>
          <w:sz w:val="32"/>
          <w:szCs w:val="32"/>
        </w:rPr>
        <w:t>CSCD/CSSCI</w:t>
      </w:r>
      <w:r>
        <w:rPr>
          <w:rFonts w:ascii="仿宋_GB2312" w:eastAsia="仿宋_GB2312" w:hAnsi="华文仿宋" w:hint="eastAsia"/>
          <w:sz w:val="32"/>
          <w:szCs w:val="32"/>
        </w:rPr>
        <w:t>及以上学术论文、授权发明专利，或参加创新创业竞赛获省级二等奖以上且个人排名前三者。</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5.</w:t>
      </w:r>
      <w:r>
        <w:rPr>
          <w:rFonts w:ascii="仿宋_GB2312" w:eastAsia="仿宋_GB2312" w:hAnsi="华文仿宋" w:hint="eastAsia"/>
          <w:sz w:val="32"/>
          <w:szCs w:val="32"/>
        </w:rPr>
        <w:t>硕士阶段的学科与申请攻读的博士学位授权学科应属于相同的一级学科或相近学科。</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（三）选拔程序</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符合选拔条件的硕士生，于每学年开学初向所在学院提交硕博连读申请。学院对申请者进行初步考核，并将考核结果报研究生院。研究生院审核通过后，即确定为硕博连读预备生。</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在每年博士研究生考核录取前，各学院成立考核小组，</w:t>
      </w:r>
      <w:proofErr w:type="gramStart"/>
      <w:r>
        <w:rPr>
          <w:rFonts w:ascii="仿宋_GB2312" w:eastAsia="仿宋_GB2312" w:hAnsi="华文仿宋" w:hint="eastAsia"/>
          <w:sz w:val="32"/>
          <w:szCs w:val="32"/>
        </w:rPr>
        <w:lastRenderedPageBreak/>
        <w:t>对硕博</w:t>
      </w:r>
      <w:proofErr w:type="gramEnd"/>
      <w:r>
        <w:rPr>
          <w:rFonts w:ascii="仿宋_GB2312" w:eastAsia="仿宋_GB2312" w:hAnsi="华文仿宋" w:hint="eastAsia"/>
          <w:sz w:val="32"/>
          <w:szCs w:val="32"/>
        </w:rPr>
        <w:t>连读预备生进行博士资格认定考核，并将考核结果报研究生院。</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hint="eastAsia"/>
          <w:sz w:val="32"/>
          <w:szCs w:val="32"/>
        </w:rPr>
        <w:t>研究生院对学院考核结果进行审核，</w:t>
      </w:r>
      <w:proofErr w:type="gramStart"/>
      <w:r>
        <w:rPr>
          <w:rFonts w:ascii="仿宋_GB2312" w:eastAsia="仿宋_GB2312" w:hAnsi="华文仿宋" w:hint="eastAsia"/>
          <w:sz w:val="32"/>
          <w:szCs w:val="32"/>
        </w:rPr>
        <w:t>报校研究生</w:t>
      </w:r>
      <w:proofErr w:type="gramEnd"/>
      <w:r>
        <w:rPr>
          <w:rFonts w:ascii="仿宋_GB2312" w:eastAsia="仿宋_GB2312" w:hAnsi="华文仿宋" w:hint="eastAsia"/>
          <w:sz w:val="32"/>
          <w:szCs w:val="32"/>
        </w:rPr>
        <w:t>招生工作领导小组审核批准，并公示无异议后，确定硕博连读研究生名单，纳入当年博士研究生录取计划。</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（四）课程学习</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一年级硕博连读预备生的课程</w:t>
      </w:r>
      <w:proofErr w:type="gramStart"/>
      <w:r>
        <w:rPr>
          <w:rFonts w:ascii="仿宋_GB2312" w:eastAsia="仿宋_GB2312" w:hAnsi="华文仿宋" w:hint="eastAsia"/>
          <w:sz w:val="32"/>
          <w:szCs w:val="32"/>
        </w:rPr>
        <w:t>学习按硕博</w:t>
      </w:r>
      <w:proofErr w:type="gramEnd"/>
      <w:r>
        <w:rPr>
          <w:rFonts w:ascii="仿宋_GB2312" w:eastAsia="仿宋_GB2312" w:hAnsi="华文仿宋" w:hint="eastAsia"/>
          <w:sz w:val="32"/>
          <w:szCs w:val="32"/>
        </w:rPr>
        <w:t>连读研究生培养方案执行；已修完硕士阶段</w:t>
      </w:r>
      <w:r>
        <w:rPr>
          <w:rFonts w:ascii="仿宋_GB2312" w:eastAsia="仿宋_GB2312" w:hAnsi="华文仿宋" w:hint="eastAsia"/>
          <w:sz w:val="32"/>
          <w:szCs w:val="32"/>
        </w:rPr>
        <w:t>课程的二年级硕博连读预备生，按博士生培养方案执行。</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w:t>
      </w:r>
      <w:proofErr w:type="gramStart"/>
      <w:r>
        <w:rPr>
          <w:rFonts w:ascii="楷体_GB2312" w:eastAsia="楷体_GB2312" w:hAnsi="楷体_GB2312" w:cs="楷体_GB2312" w:hint="eastAsia"/>
          <w:b/>
          <w:bCs/>
          <w:sz w:val="32"/>
          <w:szCs w:val="32"/>
        </w:rPr>
        <w:t>学费及奖助学金</w:t>
      </w:r>
      <w:proofErr w:type="gramEnd"/>
      <w:r>
        <w:rPr>
          <w:rFonts w:ascii="楷体_GB2312" w:eastAsia="楷体_GB2312" w:hAnsi="楷体_GB2312" w:cs="楷体_GB2312" w:hint="eastAsia"/>
          <w:b/>
          <w:bCs/>
          <w:sz w:val="32"/>
          <w:szCs w:val="32"/>
        </w:rPr>
        <w:t>评定</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根据国家政策，硕博连读研究生（包含预备生）根据当年学籍注册身份缴纳学费，并参与相应学籍注册身份的奖学金及助学金的评定。</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（六）博士资格认定考核</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考核时间：每年</w:t>
      </w:r>
      <w:r>
        <w:rPr>
          <w:rFonts w:ascii="仿宋_GB2312" w:eastAsia="仿宋_GB2312" w:hAnsi="华文仿宋" w:hint="eastAsia"/>
          <w:sz w:val="32"/>
          <w:szCs w:val="32"/>
        </w:rPr>
        <w:t>4</w:t>
      </w:r>
      <w:r>
        <w:rPr>
          <w:rFonts w:ascii="仿宋_GB2312" w:eastAsia="仿宋_GB2312" w:hAnsi="华文仿宋" w:hint="eastAsia"/>
          <w:sz w:val="32"/>
          <w:szCs w:val="32"/>
        </w:rPr>
        <w:t>月份进行。</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考核内容及方式：</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考核内容包含英语水平、思想政治表现、学术综合能力等，由各学院负责组织考核，并制定相应的实施细则报研究生院备案。</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hint="eastAsia"/>
          <w:sz w:val="32"/>
          <w:szCs w:val="32"/>
        </w:rPr>
        <w:t>有下列行为之一的，博士资格认定考核不合格：</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硕博连读预备期间，受过严重警告及以上处分的；</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有学术不端行为的；</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(3)</w:t>
      </w:r>
      <w:r>
        <w:rPr>
          <w:rFonts w:ascii="仿宋_GB2312" w:eastAsia="仿宋_GB2312" w:hAnsi="华文仿宋" w:hint="eastAsia"/>
          <w:sz w:val="32"/>
          <w:szCs w:val="32"/>
        </w:rPr>
        <w:t>未完成或未达到培养方案中相关培养要求的。</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hint="eastAsia"/>
          <w:sz w:val="32"/>
          <w:szCs w:val="32"/>
        </w:rPr>
        <w:t>硕博连读研究生考核通过者，列入当年博士生录取计划，经教育部批准后注册为博士生学籍；考核未通过及自愿退出硕博连读培养的研究生（须在考核前提出退出申请），仍按硕士生培养有关规定执行，享受硕士生待遇。</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通过博士资格认定考核者，占用各博士招生学院当年度博士招生计划。</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（七）培养管理</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学习年限</w:t>
      </w:r>
      <w:r>
        <w:rPr>
          <w:rFonts w:ascii="仿宋_GB2312" w:eastAsia="仿宋_GB2312" w:hAnsi="华文仿宋" w:hint="eastAsia"/>
          <w:sz w:val="32"/>
          <w:szCs w:val="32"/>
        </w:rPr>
        <w:t>。</w:t>
      </w:r>
      <w:r>
        <w:rPr>
          <w:rFonts w:ascii="仿宋_GB2312" w:eastAsia="仿宋_GB2312" w:hAnsi="华文仿宋" w:hint="eastAsia"/>
          <w:sz w:val="32"/>
          <w:szCs w:val="32"/>
        </w:rPr>
        <w:t>学习年限按照《西安建筑科技大学研究生毕业、结业与肄业实施细则》</w:t>
      </w:r>
      <w:r>
        <w:rPr>
          <w:rFonts w:ascii="仿宋_GB2312" w:eastAsia="仿宋_GB2312" w:hAnsi="华文仿宋" w:hint="eastAsia"/>
          <w:sz w:val="32"/>
          <w:szCs w:val="32"/>
        </w:rPr>
        <w:t>相关规定</w:t>
      </w:r>
      <w:r>
        <w:rPr>
          <w:rFonts w:ascii="仿宋_GB2312" w:eastAsia="仿宋_GB2312" w:hAnsi="华文仿宋" w:hint="eastAsia"/>
          <w:sz w:val="32"/>
          <w:szCs w:val="32"/>
        </w:rPr>
        <w:t>执行。</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学术研究与学位论文</w:t>
      </w:r>
      <w:r>
        <w:rPr>
          <w:rFonts w:ascii="仿宋_GB2312" w:eastAsia="仿宋_GB2312" w:hAnsi="华文仿宋" w:hint="eastAsia"/>
          <w:sz w:val="32"/>
          <w:szCs w:val="32"/>
        </w:rPr>
        <w:t>。</w:t>
      </w:r>
      <w:r>
        <w:rPr>
          <w:rFonts w:ascii="仿宋_GB2312" w:eastAsia="仿宋_GB2312" w:hAnsi="华文仿宋" w:hint="eastAsia"/>
          <w:sz w:val="32"/>
          <w:szCs w:val="32"/>
        </w:rPr>
        <w:t>硕博连读研究生的学术研究、学位论文工作按照相应学科硕博连读研究生发</w:t>
      </w:r>
      <w:r>
        <w:rPr>
          <w:rFonts w:ascii="仿宋_GB2312" w:eastAsia="仿宋_GB2312" w:hAnsi="华文仿宋" w:hint="eastAsia"/>
          <w:sz w:val="32"/>
          <w:szCs w:val="32"/>
        </w:rPr>
        <w:t>表学术论文要求及《西安建筑科技大学博士学位授予工作细则》执行。</w:t>
      </w:r>
    </w:p>
    <w:p w:rsidR="00C90860" w:rsidRDefault="00EF28C2">
      <w:pPr>
        <w:spacing w:line="574" w:lineRule="exact"/>
        <w:ind w:firstLineChars="200" w:firstLine="640"/>
        <w:rPr>
          <w:rFonts w:ascii="黑体" w:eastAsia="黑体" w:hAnsi="华文仿宋"/>
          <w:bCs/>
          <w:sz w:val="32"/>
          <w:szCs w:val="32"/>
        </w:rPr>
      </w:pPr>
      <w:r>
        <w:rPr>
          <w:rFonts w:ascii="黑体" w:eastAsia="黑体" w:hAnsi="华文仿宋" w:hint="eastAsia"/>
          <w:bCs/>
          <w:sz w:val="32"/>
          <w:szCs w:val="32"/>
        </w:rPr>
        <w:t>三、普通招考</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普通招考通过“申请</w:t>
      </w:r>
      <w:r>
        <w:rPr>
          <w:rFonts w:ascii="仿宋_GB2312" w:eastAsia="仿宋_GB2312" w:hAnsi="华文仿宋" w:hint="eastAsia"/>
          <w:sz w:val="32"/>
          <w:szCs w:val="32"/>
        </w:rPr>
        <w:t>-</w:t>
      </w:r>
      <w:r>
        <w:rPr>
          <w:rFonts w:ascii="仿宋_GB2312" w:eastAsia="仿宋_GB2312" w:hAnsi="华文仿宋" w:hint="eastAsia"/>
          <w:sz w:val="32"/>
          <w:szCs w:val="32"/>
        </w:rPr>
        <w:t>考核”程序选拔博士研究生。</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（一）申请条件</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拥护中国共产党的领导，品德良好，遵纪守法，勤奋学习，努力攀登科学高峰，愿为社会主义现代化建设服务。</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硕士研究生毕业或已获硕士学位的人员；应届硕士毕业生（最迟须在入学前毕业或取得硕士学位）；获得学士学位</w:t>
      </w:r>
      <w:r>
        <w:rPr>
          <w:rFonts w:ascii="仿宋_GB2312" w:eastAsia="仿宋_GB2312" w:hAnsi="华文仿宋" w:hint="eastAsia"/>
          <w:sz w:val="32"/>
          <w:szCs w:val="32"/>
        </w:rPr>
        <w:t>6</w:t>
      </w:r>
      <w:r>
        <w:rPr>
          <w:rFonts w:ascii="仿宋_GB2312" w:eastAsia="仿宋_GB2312" w:hAnsi="华文仿宋" w:hint="eastAsia"/>
          <w:sz w:val="32"/>
          <w:szCs w:val="32"/>
        </w:rPr>
        <w:t>年以上（含</w:t>
      </w:r>
      <w:r>
        <w:rPr>
          <w:rFonts w:ascii="仿宋_GB2312" w:eastAsia="仿宋_GB2312" w:hAnsi="华文仿宋" w:hint="eastAsia"/>
          <w:sz w:val="32"/>
          <w:szCs w:val="32"/>
        </w:rPr>
        <w:t>6</w:t>
      </w:r>
      <w:r>
        <w:rPr>
          <w:rFonts w:ascii="仿宋_GB2312" w:eastAsia="仿宋_GB2312" w:hAnsi="华文仿宋" w:hint="eastAsia"/>
          <w:sz w:val="32"/>
          <w:szCs w:val="32"/>
        </w:rPr>
        <w:t>年，从获得学士学位之日算起到博士生入学之日）并达到与硕士毕业生同等学力的人员。</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3.</w:t>
      </w:r>
      <w:r>
        <w:rPr>
          <w:rFonts w:ascii="仿宋_GB2312" w:eastAsia="仿宋_GB2312" w:hAnsi="华文仿宋" w:hint="eastAsia"/>
          <w:sz w:val="32"/>
          <w:szCs w:val="32"/>
        </w:rPr>
        <w:t>身体健康状况符合《普通高等学校招生体检工作指导意见》。</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hint="eastAsia"/>
          <w:sz w:val="32"/>
          <w:szCs w:val="32"/>
        </w:rPr>
        <w:t>有两位与报考学科相关的副教授（或相当职称）以上的专家书面推荐。</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5.</w:t>
      </w:r>
      <w:r>
        <w:rPr>
          <w:rFonts w:ascii="仿宋_GB2312" w:eastAsia="仿宋_GB2312" w:hAnsi="华文仿宋" w:hint="eastAsia"/>
          <w:sz w:val="32"/>
          <w:szCs w:val="32"/>
        </w:rPr>
        <w:t>考生报考必须征得所报考导师及学院书面同意。</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hint="eastAsia"/>
          <w:sz w:val="32"/>
          <w:szCs w:val="32"/>
        </w:rPr>
        <w:t>报考类别为定向就业的，只接受以下人员申请：</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本校专业课教师；</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本校其他人员，以及校外高校教师岗位及科研院所研究岗位人员。以上人员申请时</w:t>
      </w:r>
      <w:proofErr w:type="gramStart"/>
      <w:r>
        <w:rPr>
          <w:rFonts w:ascii="仿宋_GB2312" w:eastAsia="仿宋_GB2312" w:hAnsi="华文仿宋" w:hint="eastAsia"/>
          <w:sz w:val="32"/>
          <w:szCs w:val="32"/>
        </w:rPr>
        <w:t>须主持</w:t>
      </w:r>
      <w:proofErr w:type="gramEnd"/>
      <w:r>
        <w:rPr>
          <w:rFonts w:ascii="仿宋_GB2312" w:eastAsia="仿宋_GB2312" w:hAnsi="华文仿宋" w:hint="eastAsia"/>
          <w:sz w:val="32"/>
          <w:szCs w:val="32"/>
        </w:rPr>
        <w:t>省部级及以上科研课题一项（在</w:t>
      </w:r>
      <w:proofErr w:type="gramStart"/>
      <w:r>
        <w:rPr>
          <w:rFonts w:ascii="仿宋_GB2312" w:eastAsia="仿宋_GB2312" w:hAnsi="华文仿宋" w:hint="eastAsia"/>
          <w:sz w:val="32"/>
          <w:szCs w:val="32"/>
        </w:rPr>
        <w:t>研</w:t>
      </w:r>
      <w:proofErr w:type="gramEnd"/>
      <w:r>
        <w:rPr>
          <w:rFonts w:ascii="仿宋_GB2312" w:eastAsia="仿宋_GB2312" w:hAnsi="华文仿宋" w:hint="eastAsia"/>
          <w:sz w:val="32"/>
          <w:szCs w:val="32"/>
        </w:rPr>
        <w:t>，且与申请攻读博士学位研究方向相关），且录取人数不得超过当年录取指标的</w:t>
      </w:r>
      <w:r>
        <w:rPr>
          <w:rFonts w:ascii="仿宋_GB2312" w:eastAsia="仿宋_GB2312" w:hAnsi="华文仿宋" w:hint="eastAsia"/>
          <w:sz w:val="32"/>
          <w:szCs w:val="32"/>
        </w:rPr>
        <w:t>10%</w:t>
      </w:r>
      <w:r>
        <w:rPr>
          <w:rFonts w:ascii="仿宋_GB2312" w:eastAsia="仿宋_GB2312" w:hAnsi="华文仿宋" w:hint="eastAsia"/>
          <w:sz w:val="32"/>
          <w:szCs w:val="32"/>
        </w:rPr>
        <w:t>。</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7.</w:t>
      </w:r>
      <w:r>
        <w:rPr>
          <w:rFonts w:ascii="仿宋_GB2312" w:eastAsia="仿宋_GB2312" w:hAnsi="华文仿宋"/>
          <w:sz w:val="32"/>
          <w:szCs w:val="32"/>
        </w:rPr>
        <w:t>以同等学力身份报考人员还须满足以下条件：</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sz w:val="32"/>
          <w:szCs w:val="32"/>
        </w:rPr>
        <w:t>已修完相同专业或相近专业的硕士学位全部课程且成绩合格（须提交培养单位研究生教学</w:t>
      </w:r>
      <w:r>
        <w:rPr>
          <w:rFonts w:ascii="仿宋_GB2312" w:eastAsia="仿宋_GB2312" w:hAnsi="华文仿宋"/>
          <w:sz w:val="32"/>
          <w:szCs w:val="32"/>
        </w:rPr>
        <w:t>部门盖章的成绩单）。</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已在所报考学科或相近研究领域的全国核心期刊上以第一作者身份发表过两篇与硕士学位论文水平相当的学术论文；或获得省、部级以上与报考学科相关的科技成果一、二等奖（排名前三名）。</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3</w:t>
      </w:r>
      <w:r>
        <w:rPr>
          <w:rFonts w:ascii="仿宋_GB2312" w:eastAsia="仿宋_GB2312" w:hAnsi="华文仿宋" w:hint="eastAsia"/>
          <w:sz w:val="32"/>
          <w:szCs w:val="32"/>
        </w:rPr>
        <w:t>)</w:t>
      </w:r>
      <w:r>
        <w:rPr>
          <w:rFonts w:ascii="仿宋_GB2312" w:eastAsia="仿宋_GB2312" w:hAnsi="华文仿宋"/>
          <w:sz w:val="32"/>
          <w:szCs w:val="32"/>
        </w:rPr>
        <w:t>同等学力考生不得跨一级学科报考。</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sz w:val="32"/>
          <w:szCs w:val="32"/>
        </w:rPr>
        <w:t>8.</w:t>
      </w:r>
      <w:r>
        <w:rPr>
          <w:rFonts w:ascii="仿宋_GB2312" w:eastAsia="仿宋_GB2312" w:hAnsi="华文仿宋"/>
          <w:sz w:val="32"/>
          <w:szCs w:val="32"/>
        </w:rPr>
        <w:t>现役军人报考博士</w:t>
      </w:r>
      <w:r>
        <w:rPr>
          <w:rFonts w:ascii="仿宋_GB2312" w:eastAsia="仿宋_GB2312" w:hAnsi="华文仿宋" w:hint="eastAsia"/>
          <w:sz w:val="32"/>
          <w:szCs w:val="32"/>
        </w:rPr>
        <w:t>研究</w:t>
      </w:r>
      <w:r>
        <w:rPr>
          <w:rFonts w:ascii="仿宋_GB2312" w:eastAsia="仿宋_GB2312" w:hAnsi="华文仿宋"/>
          <w:sz w:val="32"/>
          <w:szCs w:val="32"/>
        </w:rPr>
        <w:t>生，按中国人民解放军总政治部的规定办理。</w:t>
      </w:r>
    </w:p>
    <w:p w:rsidR="00C90860" w:rsidRDefault="00EF28C2">
      <w:pPr>
        <w:spacing w:line="574"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（二）考核程序</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w:t>
      </w:r>
      <w:r>
        <w:rPr>
          <w:rFonts w:ascii="仿宋_GB2312" w:eastAsia="仿宋_GB2312" w:hAnsi="华文仿宋" w:hint="eastAsia"/>
          <w:sz w:val="32"/>
          <w:szCs w:val="32"/>
        </w:rPr>
        <w:t>包括外国语考核和综合考核两个过程。</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华文仿宋" w:hint="eastAsia"/>
          <w:sz w:val="32"/>
          <w:szCs w:val="32"/>
        </w:rPr>
        <w:t>外国语考核：申请者参加学校统一组织的外国语考试。满足下列条件之一者，可申请免外国语考核：</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①国家大学英语六级考试成绩</w:t>
      </w:r>
      <w:r>
        <w:rPr>
          <w:rFonts w:ascii="仿宋_GB2312" w:eastAsia="仿宋_GB2312" w:hAnsi="华文仿宋" w:hint="eastAsia"/>
          <w:sz w:val="32"/>
          <w:szCs w:val="32"/>
        </w:rPr>
        <w:t>530</w:t>
      </w:r>
      <w:r>
        <w:rPr>
          <w:rFonts w:ascii="仿宋_GB2312" w:eastAsia="仿宋_GB2312" w:hAnsi="华文仿宋" w:hint="eastAsia"/>
          <w:sz w:val="32"/>
          <w:szCs w:val="32"/>
        </w:rPr>
        <w:t>分（含</w:t>
      </w:r>
      <w:r>
        <w:rPr>
          <w:rFonts w:ascii="仿宋_GB2312" w:eastAsia="仿宋_GB2312" w:hAnsi="华文仿宋" w:hint="eastAsia"/>
          <w:sz w:val="32"/>
          <w:szCs w:val="32"/>
        </w:rPr>
        <w:t>530</w:t>
      </w:r>
      <w:r>
        <w:rPr>
          <w:rFonts w:ascii="仿宋_GB2312" w:eastAsia="仿宋_GB2312" w:hAnsi="华文仿宋" w:hint="eastAsia"/>
          <w:sz w:val="32"/>
          <w:szCs w:val="32"/>
        </w:rPr>
        <w:t>）以上（五</w:t>
      </w:r>
      <w:r>
        <w:rPr>
          <w:rFonts w:ascii="仿宋_GB2312" w:eastAsia="仿宋_GB2312" w:hAnsi="华文仿宋" w:hint="eastAsia"/>
          <w:sz w:val="32"/>
          <w:szCs w:val="32"/>
        </w:rPr>
        <w:t>年内有效）；</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②</w:t>
      </w:r>
      <w:r>
        <w:rPr>
          <w:rFonts w:ascii="仿宋_GB2312" w:eastAsia="仿宋_GB2312" w:hAnsi="华文仿宋" w:hint="eastAsia"/>
          <w:sz w:val="32"/>
          <w:szCs w:val="32"/>
        </w:rPr>
        <w:t>GRE 1200</w:t>
      </w:r>
      <w:r>
        <w:rPr>
          <w:rFonts w:ascii="仿宋_GB2312" w:eastAsia="仿宋_GB2312" w:hAnsi="华文仿宋" w:hint="eastAsia"/>
          <w:sz w:val="32"/>
          <w:szCs w:val="32"/>
        </w:rPr>
        <w:t>分（含</w:t>
      </w:r>
      <w:r>
        <w:rPr>
          <w:rFonts w:ascii="仿宋_GB2312" w:eastAsia="仿宋_GB2312" w:hAnsi="华文仿宋" w:hint="eastAsia"/>
          <w:sz w:val="32"/>
          <w:szCs w:val="32"/>
        </w:rPr>
        <w:t>1200</w:t>
      </w:r>
      <w:r>
        <w:rPr>
          <w:rFonts w:ascii="仿宋_GB2312" w:eastAsia="仿宋_GB2312" w:hAnsi="华文仿宋" w:hint="eastAsia"/>
          <w:sz w:val="32"/>
          <w:szCs w:val="32"/>
        </w:rPr>
        <w:t>）以上（五年内有效）；</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③托福</w:t>
      </w:r>
      <w:r>
        <w:rPr>
          <w:rFonts w:ascii="仿宋_GB2312" w:eastAsia="仿宋_GB2312" w:hAnsi="华文仿宋" w:hint="eastAsia"/>
          <w:sz w:val="32"/>
          <w:szCs w:val="32"/>
        </w:rPr>
        <w:t>IBT 80</w:t>
      </w:r>
      <w:r>
        <w:rPr>
          <w:rFonts w:ascii="仿宋_GB2312" w:eastAsia="仿宋_GB2312" w:hAnsi="华文仿宋" w:hint="eastAsia"/>
          <w:sz w:val="32"/>
          <w:szCs w:val="32"/>
        </w:rPr>
        <w:t>分（含</w:t>
      </w:r>
      <w:r>
        <w:rPr>
          <w:rFonts w:ascii="仿宋_GB2312" w:eastAsia="仿宋_GB2312" w:hAnsi="华文仿宋" w:hint="eastAsia"/>
          <w:sz w:val="32"/>
          <w:szCs w:val="32"/>
        </w:rPr>
        <w:t>80</w:t>
      </w:r>
      <w:r>
        <w:rPr>
          <w:rFonts w:ascii="仿宋_GB2312" w:eastAsia="仿宋_GB2312" w:hAnsi="华文仿宋" w:hint="eastAsia"/>
          <w:sz w:val="32"/>
          <w:szCs w:val="32"/>
        </w:rPr>
        <w:t>）以上（二年内有效）；</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④</w:t>
      </w:r>
      <w:proofErr w:type="gramStart"/>
      <w:r>
        <w:rPr>
          <w:rFonts w:ascii="仿宋_GB2312" w:eastAsia="仿宋_GB2312" w:hAnsi="华文仿宋" w:hint="eastAsia"/>
          <w:sz w:val="32"/>
          <w:szCs w:val="32"/>
        </w:rPr>
        <w:t>雅思</w:t>
      </w:r>
      <w:proofErr w:type="gramEnd"/>
      <w:r>
        <w:rPr>
          <w:rFonts w:ascii="仿宋_GB2312" w:eastAsia="仿宋_GB2312" w:hAnsi="华文仿宋" w:hint="eastAsia"/>
          <w:sz w:val="32"/>
          <w:szCs w:val="32"/>
        </w:rPr>
        <w:t>6.0</w:t>
      </w:r>
      <w:r>
        <w:rPr>
          <w:rFonts w:ascii="仿宋_GB2312" w:eastAsia="仿宋_GB2312" w:hAnsi="华文仿宋" w:hint="eastAsia"/>
          <w:sz w:val="32"/>
          <w:szCs w:val="32"/>
        </w:rPr>
        <w:t>分（含</w:t>
      </w:r>
      <w:r>
        <w:rPr>
          <w:rFonts w:ascii="仿宋_GB2312" w:eastAsia="仿宋_GB2312" w:hAnsi="华文仿宋" w:hint="eastAsia"/>
          <w:sz w:val="32"/>
          <w:szCs w:val="32"/>
        </w:rPr>
        <w:t>6.0</w:t>
      </w:r>
      <w:r>
        <w:rPr>
          <w:rFonts w:ascii="仿宋_GB2312" w:eastAsia="仿宋_GB2312" w:hAnsi="华文仿宋" w:hint="eastAsia"/>
          <w:sz w:val="32"/>
          <w:szCs w:val="32"/>
        </w:rPr>
        <w:t>）以上（二年内有效）；</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⑤获得英语国家的学士及以上学位；</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⑥英语专业毕业并获得专业八级证书；</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⑦通过国家外语水平的相关考试后，在英语国家有一年以上的访学经历。</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综合考核：①申请人结合导师拟定的攻读博士学位研究课题方向，撰写研究计划，内容应包括研究前沿、研究路线及预期成果等。②申请人根据导师选定的一门报考学科专业课，撰写发展趋势报告。</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hint="eastAsia"/>
          <w:sz w:val="32"/>
          <w:szCs w:val="32"/>
        </w:rPr>
        <w:t>申请者将完成的两个报告（计划），同已取得的学术成果证明材料、博士报名材料一并交至所报考学院研究生办公室。</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hint="eastAsia"/>
          <w:sz w:val="32"/>
          <w:szCs w:val="32"/>
        </w:rPr>
        <w:t>学院组织统一面试。面试采取答辩形式，时间不得少于</w:t>
      </w:r>
      <w:r>
        <w:rPr>
          <w:rFonts w:ascii="仿宋_GB2312" w:eastAsia="仿宋_GB2312" w:hAnsi="华文仿宋" w:hint="eastAsia"/>
          <w:sz w:val="32"/>
          <w:szCs w:val="32"/>
        </w:rPr>
        <w:t>40</w:t>
      </w:r>
      <w:r>
        <w:rPr>
          <w:rFonts w:ascii="仿宋_GB2312" w:eastAsia="仿宋_GB2312" w:hAnsi="华文仿宋" w:hint="eastAsia"/>
          <w:sz w:val="32"/>
          <w:szCs w:val="32"/>
        </w:rPr>
        <w:t>分钟，</w:t>
      </w:r>
      <w:proofErr w:type="gramStart"/>
      <w:r>
        <w:rPr>
          <w:rFonts w:ascii="仿宋_GB2312" w:eastAsia="仿宋_GB2312" w:hAnsi="华文仿宋" w:hint="eastAsia"/>
          <w:sz w:val="32"/>
          <w:szCs w:val="32"/>
        </w:rPr>
        <w:t>面试组</w:t>
      </w:r>
      <w:proofErr w:type="gramEnd"/>
      <w:r>
        <w:rPr>
          <w:rFonts w:ascii="仿宋_GB2312" w:eastAsia="仿宋_GB2312" w:hAnsi="华文仿宋" w:hint="eastAsia"/>
          <w:sz w:val="32"/>
          <w:szCs w:val="32"/>
        </w:rPr>
        <w:t>应由不少于</w:t>
      </w:r>
      <w:r>
        <w:rPr>
          <w:rFonts w:ascii="仿宋_GB2312" w:eastAsia="仿宋_GB2312" w:hAnsi="华文仿宋" w:hint="eastAsia"/>
          <w:sz w:val="32"/>
          <w:szCs w:val="32"/>
        </w:rPr>
        <w:t>5</w:t>
      </w:r>
      <w:r>
        <w:rPr>
          <w:rFonts w:ascii="仿宋_GB2312" w:eastAsia="仿宋_GB2312" w:hAnsi="华文仿宋" w:hint="eastAsia"/>
          <w:sz w:val="32"/>
          <w:szCs w:val="32"/>
        </w:rPr>
        <w:t>名本学科高级职称者组成（包括导师）。</w:t>
      </w:r>
      <w:r>
        <w:rPr>
          <w:rFonts w:ascii="仿宋_GB2312" w:eastAsia="仿宋_GB2312" w:hAnsi="华文仿宋"/>
          <w:sz w:val="32"/>
          <w:szCs w:val="32"/>
        </w:rPr>
        <w:t>面试</w:t>
      </w:r>
      <w:r>
        <w:rPr>
          <w:rFonts w:ascii="仿宋_GB2312" w:eastAsia="仿宋_GB2312" w:hAnsi="华文仿宋" w:hint="eastAsia"/>
          <w:sz w:val="32"/>
          <w:szCs w:val="32"/>
        </w:rPr>
        <w:t>分为</w:t>
      </w:r>
      <w:r>
        <w:rPr>
          <w:rFonts w:ascii="仿宋_GB2312" w:eastAsia="仿宋_GB2312" w:hAnsi="华文仿宋"/>
          <w:sz w:val="32"/>
          <w:szCs w:val="32"/>
        </w:rPr>
        <w:t>两部分</w:t>
      </w:r>
      <w:r>
        <w:rPr>
          <w:rFonts w:ascii="仿宋_GB2312" w:eastAsia="仿宋_GB2312" w:hAnsi="华文仿宋" w:hint="eastAsia"/>
          <w:sz w:val="32"/>
          <w:szCs w:val="32"/>
        </w:rPr>
        <w:t>：</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1</w:t>
      </w:r>
      <w:r>
        <w:rPr>
          <w:rFonts w:ascii="仿宋_GB2312" w:eastAsia="仿宋_GB2312" w:hAnsi="华文仿宋" w:hint="eastAsia"/>
          <w:sz w:val="32"/>
          <w:szCs w:val="32"/>
        </w:rPr>
        <w:t>)</w:t>
      </w:r>
      <w:r>
        <w:rPr>
          <w:rFonts w:ascii="仿宋_GB2312" w:eastAsia="仿宋_GB2312" w:hAnsi="华文仿宋" w:hint="eastAsia"/>
          <w:sz w:val="32"/>
          <w:szCs w:val="32"/>
        </w:rPr>
        <w:t>申请者汇报自己的研究计划及选定专业课的发展趋势，</w:t>
      </w:r>
      <w:proofErr w:type="gramStart"/>
      <w:r>
        <w:rPr>
          <w:rFonts w:ascii="仿宋_GB2312" w:eastAsia="仿宋_GB2312" w:hAnsi="华文仿宋" w:hint="eastAsia"/>
          <w:sz w:val="32"/>
          <w:szCs w:val="32"/>
        </w:rPr>
        <w:lastRenderedPageBreak/>
        <w:t>面试组</w:t>
      </w:r>
      <w:proofErr w:type="gramEnd"/>
      <w:r>
        <w:rPr>
          <w:rFonts w:ascii="仿宋_GB2312" w:eastAsia="仿宋_GB2312" w:hAnsi="华文仿宋" w:hint="eastAsia"/>
          <w:sz w:val="32"/>
          <w:szCs w:val="32"/>
        </w:rPr>
        <w:t>专家质询</w:t>
      </w:r>
      <w:r>
        <w:rPr>
          <w:rFonts w:ascii="仿宋_GB2312" w:eastAsia="仿宋_GB2312" w:hAnsi="华文仿宋"/>
          <w:sz w:val="32"/>
          <w:szCs w:val="32"/>
        </w:rPr>
        <w:t>并</w:t>
      </w:r>
      <w:r>
        <w:rPr>
          <w:rFonts w:ascii="仿宋_GB2312" w:eastAsia="仿宋_GB2312" w:hAnsi="华文仿宋" w:hint="eastAsia"/>
          <w:sz w:val="32"/>
          <w:szCs w:val="32"/>
        </w:rPr>
        <w:t>给出相应成绩。</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w:t>
      </w:r>
      <w:proofErr w:type="gramStart"/>
      <w:r>
        <w:rPr>
          <w:rFonts w:ascii="仿宋_GB2312" w:eastAsia="仿宋_GB2312" w:hAnsi="华文仿宋" w:hint="eastAsia"/>
          <w:sz w:val="32"/>
          <w:szCs w:val="32"/>
        </w:rPr>
        <w:t>面试组</w:t>
      </w:r>
      <w:proofErr w:type="gramEnd"/>
      <w:r>
        <w:rPr>
          <w:rFonts w:ascii="仿宋_GB2312" w:eastAsia="仿宋_GB2312" w:hAnsi="华文仿宋" w:hint="eastAsia"/>
          <w:sz w:val="32"/>
          <w:szCs w:val="32"/>
        </w:rPr>
        <w:t>专家对申请人思想品德、专业素养、学业水平、科研能力、创新潜质和综合素质等进行综合评价，</w:t>
      </w:r>
      <w:r>
        <w:rPr>
          <w:rFonts w:ascii="仿宋_GB2312" w:eastAsia="仿宋_GB2312" w:hAnsi="华文仿宋"/>
          <w:sz w:val="32"/>
          <w:szCs w:val="32"/>
        </w:rPr>
        <w:t>给出复试成绩</w:t>
      </w:r>
      <w:r>
        <w:rPr>
          <w:rFonts w:ascii="仿宋_GB2312" w:eastAsia="仿宋_GB2312" w:hAnsi="华文仿宋" w:hint="eastAsia"/>
          <w:sz w:val="32"/>
          <w:szCs w:val="32"/>
        </w:rPr>
        <w:t>。</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r>
        <w:rPr>
          <w:rFonts w:ascii="仿宋_GB2312" w:eastAsia="仿宋_GB2312" w:hAnsi="华文仿宋" w:hint="eastAsia"/>
          <w:sz w:val="32"/>
          <w:szCs w:val="32"/>
        </w:rPr>
        <w:t>学院根据外国语成绩、综合考核成绩及</w:t>
      </w:r>
      <w:r>
        <w:rPr>
          <w:rFonts w:ascii="仿宋_GB2312" w:eastAsia="仿宋_GB2312" w:hAnsi="华文仿宋"/>
          <w:sz w:val="32"/>
          <w:szCs w:val="32"/>
        </w:rPr>
        <w:t>复试成绩</w:t>
      </w:r>
      <w:r>
        <w:rPr>
          <w:rFonts w:ascii="仿宋_GB2312" w:eastAsia="仿宋_GB2312" w:hAnsi="华文仿宋" w:hint="eastAsia"/>
          <w:sz w:val="32"/>
          <w:szCs w:val="32"/>
        </w:rPr>
        <w:t>，同时结合年度招生名额</w:t>
      </w:r>
      <w:r>
        <w:rPr>
          <w:rFonts w:ascii="仿宋_GB2312" w:eastAsia="仿宋_GB2312" w:hAnsi="华文仿宋" w:hint="eastAsia"/>
          <w:sz w:val="32"/>
          <w:szCs w:val="32"/>
        </w:rPr>
        <w:t>择优录取，优先</w:t>
      </w:r>
      <w:proofErr w:type="gramStart"/>
      <w:r>
        <w:rPr>
          <w:rFonts w:ascii="仿宋_GB2312" w:eastAsia="仿宋_GB2312" w:hAnsi="华文仿宋" w:hint="eastAsia"/>
          <w:sz w:val="32"/>
          <w:szCs w:val="32"/>
        </w:rPr>
        <w:t>录取非</w:t>
      </w:r>
      <w:proofErr w:type="gramEnd"/>
      <w:r>
        <w:rPr>
          <w:rFonts w:ascii="仿宋_GB2312" w:eastAsia="仿宋_GB2312" w:hAnsi="华文仿宋" w:hint="eastAsia"/>
          <w:sz w:val="32"/>
          <w:szCs w:val="32"/>
        </w:rPr>
        <w:t>定向考生。</w:t>
      </w:r>
    </w:p>
    <w:p w:rsidR="00C90860" w:rsidRDefault="00EF28C2">
      <w:pPr>
        <w:spacing w:line="574" w:lineRule="exact"/>
        <w:ind w:firstLineChars="200" w:firstLine="640"/>
        <w:rPr>
          <w:rFonts w:ascii="黑体" w:eastAsia="黑体" w:hAnsi="黑体" w:cs="黑体"/>
          <w:bCs/>
          <w:sz w:val="32"/>
          <w:szCs w:val="32"/>
        </w:rPr>
      </w:pPr>
      <w:r>
        <w:rPr>
          <w:rFonts w:ascii="黑体" w:eastAsia="黑体" w:hAnsi="黑体" w:cs="黑体" w:hint="eastAsia"/>
          <w:bCs/>
          <w:sz w:val="32"/>
          <w:szCs w:val="32"/>
        </w:rPr>
        <w:t>四、自本办法公布之日起，所指导的博士生出现以下情况者，分别扣减该导师及所在学院下一年度招生指标。</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（一）每出现</w:t>
      </w:r>
      <w:r>
        <w:rPr>
          <w:rFonts w:ascii="仿宋_GB2312" w:eastAsia="仿宋_GB2312" w:hAnsi="华文仿宋" w:hint="eastAsia"/>
          <w:sz w:val="32"/>
          <w:szCs w:val="32"/>
        </w:rPr>
        <w:t>1</w:t>
      </w:r>
      <w:r>
        <w:rPr>
          <w:rFonts w:ascii="仿宋_GB2312" w:eastAsia="仿宋_GB2312" w:hAnsi="华文仿宋" w:hint="eastAsia"/>
          <w:sz w:val="32"/>
          <w:szCs w:val="32"/>
        </w:rPr>
        <w:t>次学位论文送审无效者，扣减下一年度博士生招生指标</w:t>
      </w:r>
      <w:r>
        <w:rPr>
          <w:rFonts w:ascii="仿宋_GB2312" w:eastAsia="仿宋_GB2312" w:hAnsi="华文仿宋" w:hint="eastAsia"/>
          <w:sz w:val="32"/>
          <w:szCs w:val="32"/>
        </w:rPr>
        <w:t>1</w:t>
      </w:r>
      <w:r>
        <w:rPr>
          <w:rFonts w:ascii="仿宋_GB2312" w:eastAsia="仿宋_GB2312" w:hAnsi="华文仿宋" w:hint="eastAsia"/>
          <w:sz w:val="32"/>
          <w:szCs w:val="32"/>
        </w:rPr>
        <w:t>个；</w:t>
      </w:r>
    </w:p>
    <w:p w:rsidR="00C90860" w:rsidRDefault="00EF28C2">
      <w:pPr>
        <w:spacing w:line="574"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（二）所指导的博士生在学校规定的年限内未能按期毕业的，扣减下一年度相应数量的博士生招生指标。</w:t>
      </w:r>
    </w:p>
    <w:p w:rsidR="00C90860" w:rsidRDefault="00EF28C2">
      <w:pPr>
        <w:spacing w:line="574"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五、本办法自公布之日起实施，原有关规定自行废止。</w:t>
      </w:r>
    </w:p>
    <w:p w:rsidR="00C90860" w:rsidRDefault="00EF28C2">
      <w:pPr>
        <w:spacing w:line="574" w:lineRule="exact"/>
        <w:ind w:firstLineChars="200" w:firstLine="640"/>
        <w:rPr>
          <w:rFonts w:ascii="黑体" w:eastAsia="黑体" w:hAnsi="黑体" w:cs="黑体"/>
          <w:bCs/>
          <w:sz w:val="32"/>
          <w:szCs w:val="32"/>
        </w:rPr>
      </w:pPr>
      <w:r>
        <w:rPr>
          <w:rFonts w:ascii="黑体" w:eastAsia="黑体" w:hAnsi="黑体" w:cs="黑体" w:hint="eastAsia"/>
          <w:bCs/>
          <w:sz w:val="32"/>
          <w:szCs w:val="32"/>
        </w:rPr>
        <w:t>六、本办法由研究生院负责解释。</w:t>
      </w:r>
    </w:p>
    <w:p w:rsidR="00C90860" w:rsidRDefault="00C90860">
      <w:pPr>
        <w:adjustRightInd w:val="0"/>
        <w:snapToGrid w:val="0"/>
        <w:spacing w:line="574" w:lineRule="exact"/>
        <w:rPr>
          <w:rFonts w:ascii="仿宋_GB2312" w:eastAsia="仿宋_GB2312" w:hAnsi="华文中宋"/>
          <w:sz w:val="32"/>
          <w:szCs w:val="32"/>
        </w:rPr>
      </w:pPr>
    </w:p>
    <w:p w:rsidR="00C90860" w:rsidRDefault="00C90860">
      <w:pPr>
        <w:adjustRightInd w:val="0"/>
        <w:snapToGrid w:val="0"/>
        <w:spacing w:line="574" w:lineRule="exact"/>
        <w:rPr>
          <w:rFonts w:ascii="仿宋_GB2312" w:eastAsia="仿宋_GB2312" w:hAnsi="华文中宋"/>
          <w:sz w:val="32"/>
          <w:szCs w:val="32"/>
        </w:rPr>
      </w:pPr>
    </w:p>
    <w:p w:rsidR="00C90860" w:rsidRDefault="00C90860">
      <w:pPr>
        <w:adjustRightInd w:val="0"/>
        <w:snapToGrid w:val="0"/>
        <w:spacing w:line="574" w:lineRule="exact"/>
        <w:rPr>
          <w:rFonts w:ascii="仿宋_GB2312" w:eastAsia="仿宋_GB2312" w:hAnsi="华文中宋"/>
          <w:sz w:val="32"/>
          <w:szCs w:val="32"/>
        </w:rPr>
      </w:pPr>
    </w:p>
    <w:p w:rsidR="00C90860" w:rsidRDefault="00C90860">
      <w:pPr>
        <w:adjustRightInd w:val="0"/>
        <w:snapToGrid w:val="0"/>
        <w:spacing w:line="574" w:lineRule="exact"/>
        <w:rPr>
          <w:rFonts w:ascii="仿宋_GB2312" w:eastAsia="仿宋_GB2312" w:hAnsi="华文中宋"/>
          <w:sz w:val="32"/>
          <w:szCs w:val="32"/>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C90860">
      <w:pPr>
        <w:adjustRightInd w:val="0"/>
        <w:snapToGrid w:val="0"/>
        <w:spacing w:line="60" w:lineRule="exact"/>
        <w:rPr>
          <w:rFonts w:ascii="仿宋_GB2312" w:eastAsia="仿宋_GB2312" w:hAnsi="宋体"/>
          <w:sz w:val="28"/>
          <w:szCs w:val="28"/>
        </w:rPr>
      </w:pPr>
    </w:p>
    <w:p w:rsidR="00C90860" w:rsidRDefault="00EF28C2">
      <w:pPr>
        <w:adjustRightInd w:val="0"/>
        <w:snapToGrid w:val="0"/>
        <w:spacing w:line="60" w:lineRule="exact"/>
        <w:jc w:val="center"/>
        <w:rPr>
          <w:rFonts w:ascii="仿宋_GB2312" w:eastAsia="仿宋_GB2312" w:hAnsi="宋体" w:cs="宋体"/>
          <w:kern w:val="0"/>
          <w:sz w:val="32"/>
          <w:szCs w:val="32"/>
        </w:rPr>
      </w:pPr>
      <w:r>
        <w:rPr>
          <w:rFonts w:ascii="仿宋_GB2312" w:eastAsia="仿宋_GB2312" w:hAnsi="宋体"/>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5615940" cy="0"/>
                <wp:effectExtent l="0" t="0" r="0" b="0"/>
                <wp:wrapNone/>
                <wp:docPr id="3" name="直线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margin-left:0pt;margin-top:2.2pt;height:0pt;width:442.2pt;z-index:251658240;mso-width-relative:page;mso-height-relative:page;" coordsize="21600,21600" o:gfxdata="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v25NNIAAAAEAQAADwAAAAAAAAABACAAAAAiAAAAZHJzL2Rv&#10;d25yZXYueG1sUEsBAhQAFAAAAAgAh07iQC8CdMvOAQAAjQMAAA4AAAAAAAAAAQAgAAAAIQEAAGRy&#10;cy9lMm9Eb2MueG1sUEsFBgAAAAAGAAYAWQEAAGEFAAAAAA==&#10;">
                <v:path arrowok="t"/>
                <v:fill focussize="0,0"/>
                <v:stroke/>
                <v:imagedata o:title=""/>
                <o:lock v:ext="edit"/>
              </v:line>
            </w:pict>
          </mc:Fallback>
        </mc:AlternateContent>
      </w:r>
    </w:p>
    <w:p w:rsidR="00C90860" w:rsidRDefault="00EF28C2">
      <w:pPr>
        <w:tabs>
          <w:tab w:val="left" w:pos="7560"/>
        </w:tabs>
        <w:spacing w:line="360" w:lineRule="auto"/>
        <w:ind w:rightChars="-159" w:right="-334"/>
        <w:rPr>
          <w:rFonts w:ascii="仿宋_GB2312" w:eastAsia="仿宋_GB2312" w:hAnsi="华文中宋"/>
          <w:sz w:val="32"/>
          <w:szCs w:val="32"/>
        </w:rPr>
      </w:pPr>
      <w:r>
        <w:rPr>
          <w:rFonts w:ascii="仿宋_GB2312" w:eastAsia="仿宋_GB2312" w:hAnsi="宋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386080</wp:posOffset>
                </wp:positionV>
                <wp:extent cx="5615940" cy="0"/>
                <wp:effectExtent l="0" t="0" r="0" b="0"/>
                <wp:wrapNone/>
                <wp:docPr id="4" name="直线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 o:spid="_x0000_s1026" o:spt="20" style="position:absolute;left:0pt;margin-left:0pt;margin-top:30.4pt;height:0pt;width:442.2pt;z-index:251659264;mso-width-relative:page;mso-height-relative:page;" coordsize="21600,21600" o:gfxdata="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y/PL1AAAAAYBAAAPAAAAAAAAAAEAIAAAACIAAABkcnMv&#10;ZG93bnJldi54bWxQSwECFAAUAAAACACHTuJAVYzSas4BAACNAwAADgAAAAAAAAABACAAAAAjAQAA&#10;ZHJzL2Uyb0RvYy54bWxQSwUGAAAAAAYABgBZAQAAYwUAAAAA&#10;">
                <v:path arrowok="t"/>
                <v:fill focussize="0,0"/>
                <v:stroke/>
                <v:imagedata o:title=""/>
                <o:lock v:ext="edit"/>
              </v:line>
            </w:pict>
          </mc:Fallback>
        </mc:AlternateContent>
      </w:r>
      <w:r>
        <w:rPr>
          <w:rFonts w:ascii="仿宋_GB2312" w:eastAsia="仿宋_GB2312" w:hAnsi="宋体" w:hint="eastAsia"/>
          <w:sz w:val="28"/>
          <w:szCs w:val="28"/>
        </w:rPr>
        <w:t xml:space="preserve">  </w:t>
      </w:r>
      <w:r>
        <w:rPr>
          <w:rFonts w:ascii="仿宋_GB2312" w:eastAsia="仿宋_GB2312" w:hAnsi="宋体" w:hint="eastAsia"/>
          <w:sz w:val="28"/>
          <w:szCs w:val="28"/>
        </w:rPr>
        <w:t>西安建筑科技大学</w:t>
      </w:r>
      <w:r>
        <w:rPr>
          <w:rFonts w:ascii="仿宋_GB2312" w:eastAsia="仿宋_GB2312" w:hAnsi="宋体" w:hint="eastAsia"/>
          <w:sz w:val="28"/>
          <w:szCs w:val="28"/>
        </w:rPr>
        <w:t>校长</w:t>
      </w:r>
      <w:r>
        <w:rPr>
          <w:rFonts w:ascii="仿宋_GB2312" w:eastAsia="仿宋_GB2312" w:hAnsi="宋体" w:hint="eastAsia"/>
          <w:sz w:val="28"/>
          <w:szCs w:val="28"/>
        </w:rPr>
        <w:t>办公室</w:t>
      </w:r>
      <w:r>
        <w:rPr>
          <w:rFonts w:ascii="仿宋_GB2312" w:eastAsia="仿宋_GB2312" w:hAnsi="宋体" w:hint="eastAsia"/>
          <w:sz w:val="28"/>
          <w:szCs w:val="28"/>
        </w:rPr>
        <w:t xml:space="preserve">             2017</w:t>
      </w:r>
      <w:r>
        <w:rPr>
          <w:rFonts w:ascii="仿宋_GB2312" w:eastAsia="仿宋_GB2312" w:hAnsi="宋体" w:hint="eastAsia"/>
          <w:sz w:val="28"/>
          <w:szCs w:val="28"/>
        </w:rPr>
        <w:t>年</w:t>
      </w:r>
      <w:r>
        <w:rPr>
          <w:rFonts w:ascii="仿宋_GB2312" w:eastAsia="仿宋_GB2312" w:hAnsi="宋体" w:hint="eastAsia"/>
          <w:sz w:val="28"/>
          <w:szCs w:val="28"/>
        </w:rPr>
        <w:t>10</w:t>
      </w:r>
      <w:r>
        <w:rPr>
          <w:rFonts w:ascii="仿宋_GB2312" w:eastAsia="仿宋_GB2312" w:hAnsi="宋体" w:hint="eastAsia"/>
          <w:sz w:val="28"/>
          <w:szCs w:val="28"/>
        </w:rPr>
        <w:t>月</w:t>
      </w:r>
      <w:r>
        <w:rPr>
          <w:rFonts w:ascii="仿宋_GB2312" w:eastAsia="仿宋_GB2312" w:hAnsi="宋体" w:hint="eastAsia"/>
          <w:sz w:val="28"/>
          <w:szCs w:val="28"/>
        </w:rPr>
        <w:t>31</w:t>
      </w:r>
      <w:r>
        <w:rPr>
          <w:rFonts w:ascii="仿宋_GB2312" w:eastAsia="仿宋_GB2312" w:hAnsi="宋体" w:hint="eastAsia"/>
          <w:sz w:val="28"/>
          <w:szCs w:val="28"/>
        </w:rPr>
        <w:t>日印发</w:t>
      </w:r>
    </w:p>
    <w:sectPr w:rsidR="00C90860">
      <w:footerReference w:type="even" r:id="rId8"/>
      <w:footerReference w:type="default" r:id="rId9"/>
      <w:pgSz w:w="11906" w:h="16838"/>
      <w:pgMar w:top="2098" w:right="1474" w:bottom="1984" w:left="1587" w:header="851" w:footer="158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C2" w:rsidRDefault="00EF28C2">
      <w:r>
        <w:separator/>
      </w:r>
    </w:p>
  </w:endnote>
  <w:endnote w:type="continuationSeparator" w:id="0">
    <w:p w:rsidR="00EF28C2" w:rsidRDefault="00EF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60" w:rsidRDefault="00EF28C2">
    <w:pPr>
      <w:pStyle w:val="a6"/>
      <w:ind w:firstLineChars="100" w:firstLine="280"/>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A0BEA">
      <w:rPr>
        <w:rFonts w:ascii="宋体" w:hAnsi="宋体" w:cs="宋体"/>
        <w:noProof/>
        <w:sz w:val="28"/>
        <w:szCs w:val="28"/>
      </w:rPr>
      <w:t>8</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60" w:rsidRDefault="00EF28C2">
    <w:pPr>
      <w:pStyle w:val="a6"/>
      <w:wordWrap w:val="0"/>
      <w:jc w:val="right"/>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A0BEA">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C2" w:rsidRDefault="00EF28C2">
      <w:r>
        <w:separator/>
      </w:r>
    </w:p>
  </w:footnote>
  <w:footnote w:type="continuationSeparator" w:id="0">
    <w:p w:rsidR="00EF28C2" w:rsidRDefault="00EF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8"/>
    <w:rsid w:val="0000285D"/>
    <w:rsid w:val="00003DA9"/>
    <w:rsid w:val="00012243"/>
    <w:rsid w:val="00012851"/>
    <w:rsid w:val="00013CAC"/>
    <w:rsid w:val="00014643"/>
    <w:rsid w:val="00016E05"/>
    <w:rsid w:val="00032371"/>
    <w:rsid w:val="00041C80"/>
    <w:rsid w:val="00070BD9"/>
    <w:rsid w:val="000713DF"/>
    <w:rsid w:val="000733FF"/>
    <w:rsid w:val="00076569"/>
    <w:rsid w:val="00080586"/>
    <w:rsid w:val="00083A62"/>
    <w:rsid w:val="000861C0"/>
    <w:rsid w:val="0009561F"/>
    <w:rsid w:val="000A36F4"/>
    <w:rsid w:val="000A7613"/>
    <w:rsid w:val="000A77C0"/>
    <w:rsid w:val="000A7E1C"/>
    <w:rsid w:val="000B440E"/>
    <w:rsid w:val="000C4CEC"/>
    <w:rsid w:val="000D260C"/>
    <w:rsid w:val="000D7045"/>
    <w:rsid w:val="000E31E7"/>
    <w:rsid w:val="000E770D"/>
    <w:rsid w:val="000F098C"/>
    <w:rsid w:val="000F564F"/>
    <w:rsid w:val="000F6499"/>
    <w:rsid w:val="000F669D"/>
    <w:rsid w:val="00100BBE"/>
    <w:rsid w:val="00102529"/>
    <w:rsid w:val="00104E53"/>
    <w:rsid w:val="001063C0"/>
    <w:rsid w:val="00110630"/>
    <w:rsid w:val="00112873"/>
    <w:rsid w:val="00113910"/>
    <w:rsid w:val="00120ED1"/>
    <w:rsid w:val="0012226B"/>
    <w:rsid w:val="00131AB4"/>
    <w:rsid w:val="00140966"/>
    <w:rsid w:val="00146A05"/>
    <w:rsid w:val="00147FD1"/>
    <w:rsid w:val="00151A09"/>
    <w:rsid w:val="0015299D"/>
    <w:rsid w:val="00153835"/>
    <w:rsid w:val="00154978"/>
    <w:rsid w:val="0016064E"/>
    <w:rsid w:val="00161202"/>
    <w:rsid w:val="001613AB"/>
    <w:rsid w:val="0018029D"/>
    <w:rsid w:val="00185C91"/>
    <w:rsid w:val="0018704C"/>
    <w:rsid w:val="001964B8"/>
    <w:rsid w:val="001964C9"/>
    <w:rsid w:val="001A011E"/>
    <w:rsid w:val="001A0EF3"/>
    <w:rsid w:val="001A7697"/>
    <w:rsid w:val="001B1065"/>
    <w:rsid w:val="001B4C60"/>
    <w:rsid w:val="001C5BBE"/>
    <w:rsid w:val="001C7F1B"/>
    <w:rsid w:val="001D1A26"/>
    <w:rsid w:val="001D6026"/>
    <w:rsid w:val="001D7366"/>
    <w:rsid w:val="001E7B4A"/>
    <w:rsid w:val="00203406"/>
    <w:rsid w:val="002109E5"/>
    <w:rsid w:val="002164F6"/>
    <w:rsid w:val="00223AFA"/>
    <w:rsid w:val="0023194B"/>
    <w:rsid w:val="0023428F"/>
    <w:rsid w:val="0023662F"/>
    <w:rsid w:val="002419DF"/>
    <w:rsid w:val="00245477"/>
    <w:rsid w:val="002508AA"/>
    <w:rsid w:val="002522BA"/>
    <w:rsid w:val="00252C95"/>
    <w:rsid w:val="0025579F"/>
    <w:rsid w:val="002747DB"/>
    <w:rsid w:val="002759DF"/>
    <w:rsid w:val="00276E69"/>
    <w:rsid w:val="00276E95"/>
    <w:rsid w:val="002811F3"/>
    <w:rsid w:val="00286810"/>
    <w:rsid w:val="0029159D"/>
    <w:rsid w:val="002960F2"/>
    <w:rsid w:val="002B7F8B"/>
    <w:rsid w:val="002C3733"/>
    <w:rsid w:val="002D6842"/>
    <w:rsid w:val="002E11A2"/>
    <w:rsid w:val="002F1721"/>
    <w:rsid w:val="002F6621"/>
    <w:rsid w:val="002F7395"/>
    <w:rsid w:val="0030432E"/>
    <w:rsid w:val="00305FD8"/>
    <w:rsid w:val="0031634C"/>
    <w:rsid w:val="00345FB7"/>
    <w:rsid w:val="003524D8"/>
    <w:rsid w:val="00353E8B"/>
    <w:rsid w:val="0035488F"/>
    <w:rsid w:val="00355653"/>
    <w:rsid w:val="00360E78"/>
    <w:rsid w:val="00363E06"/>
    <w:rsid w:val="003672C0"/>
    <w:rsid w:val="00373091"/>
    <w:rsid w:val="00373D66"/>
    <w:rsid w:val="00377C9D"/>
    <w:rsid w:val="0038665A"/>
    <w:rsid w:val="00392FFF"/>
    <w:rsid w:val="003A3390"/>
    <w:rsid w:val="003A55FD"/>
    <w:rsid w:val="003A72E7"/>
    <w:rsid w:val="003B2791"/>
    <w:rsid w:val="003B3BB6"/>
    <w:rsid w:val="003B4E74"/>
    <w:rsid w:val="003B5206"/>
    <w:rsid w:val="003C5471"/>
    <w:rsid w:val="003C68F5"/>
    <w:rsid w:val="003D1CB5"/>
    <w:rsid w:val="003D2628"/>
    <w:rsid w:val="003D2D80"/>
    <w:rsid w:val="003D385B"/>
    <w:rsid w:val="003F0242"/>
    <w:rsid w:val="0040203C"/>
    <w:rsid w:val="00413560"/>
    <w:rsid w:val="00415CA8"/>
    <w:rsid w:val="0042700D"/>
    <w:rsid w:val="0042750E"/>
    <w:rsid w:val="004314D8"/>
    <w:rsid w:val="00432B8D"/>
    <w:rsid w:val="00447661"/>
    <w:rsid w:val="0045066D"/>
    <w:rsid w:val="004533C7"/>
    <w:rsid w:val="00453F8C"/>
    <w:rsid w:val="004579D4"/>
    <w:rsid w:val="00471188"/>
    <w:rsid w:val="00480E19"/>
    <w:rsid w:val="00487E65"/>
    <w:rsid w:val="00490274"/>
    <w:rsid w:val="00491A66"/>
    <w:rsid w:val="00494D9B"/>
    <w:rsid w:val="004A43C3"/>
    <w:rsid w:val="004A7A38"/>
    <w:rsid w:val="004B074F"/>
    <w:rsid w:val="004B2806"/>
    <w:rsid w:val="004B7F93"/>
    <w:rsid w:val="004C5484"/>
    <w:rsid w:val="004C6D8E"/>
    <w:rsid w:val="004D0881"/>
    <w:rsid w:val="004D3510"/>
    <w:rsid w:val="004E3DAF"/>
    <w:rsid w:val="004E4AA6"/>
    <w:rsid w:val="004E5F3F"/>
    <w:rsid w:val="004E6DE0"/>
    <w:rsid w:val="004E78C3"/>
    <w:rsid w:val="004F57AA"/>
    <w:rsid w:val="005000FC"/>
    <w:rsid w:val="00501AA2"/>
    <w:rsid w:val="005250F7"/>
    <w:rsid w:val="00527A50"/>
    <w:rsid w:val="00530440"/>
    <w:rsid w:val="00531632"/>
    <w:rsid w:val="00543490"/>
    <w:rsid w:val="00545C2D"/>
    <w:rsid w:val="00546A67"/>
    <w:rsid w:val="0055327A"/>
    <w:rsid w:val="005545BC"/>
    <w:rsid w:val="0057040A"/>
    <w:rsid w:val="005732D1"/>
    <w:rsid w:val="00575487"/>
    <w:rsid w:val="005774C5"/>
    <w:rsid w:val="00582E35"/>
    <w:rsid w:val="00593C30"/>
    <w:rsid w:val="00595D0C"/>
    <w:rsid w:val="005A7873"/>
    <w:rsid w:val="005B14A8"/>
    <w:rsid w:val="005B4857"/>
    <w:rsid w:val="005B529E"/>
    <w:rsid w:val="005C27BB"/>
    <w:rsid w:val="005D617B"/>
    <w:rsid w:val="005E0691"/>
    <w:rsid w:val="005E0C64"/>
    <w:rsid w:val="005E17C2"/>
    <w:rsid w:val="005E29EE"/>
    <w:rsid w:val="005E36FD"/>
    <w:rsid w:val="005E386B"/>
    <w:rsid w:val="005E4C2D"/>
    <w:rsid w:val="005E6891"/>
    <w:rsid w:val="005E7632"/>
    <w:rsid w:val="005F34B4"/>
    <w:rsid w:val="005F3E3F"/>
    <w:rsid w:val="00601727"/>
    <w:rsid w:val="0060510A"/>
    <w:rsid w:val="006055D4"/>
    <w:rsid w:val="0060657E"/>
    <w:rsid w:val="0062220B"/>
    <w:rsid w:val="00623928"/>
    <w:rsid w:val="006318A6"/>
    <w:rsid w:val="00643043"/>
    <w:rsid w:val="00645C77"/>
    <w:rsid w:val="0064693C"/>
    <w:rsid w:val="0065184A"/>
    <w:rsid w:val="00651DD7"/>
    <w:rsid w:val="00661267"/>
    <w:rsid w:val="00663B95"/>
    <w:rsid w:val="00665D51"/>
    <w:rsid w:val="00666310"/>
    <w:rsid w:val="00666F93"/>
    <w:rsid w:val="00675E5B"/>
    <w:rsid w:val="00681A95"/>
    <w:rsid w:val="0068210D"/>
    <w:rsid w:val="006925B5"/>
    <w:rsid w:val="006B2DE0"/>
    <w:rsid w:val="006B6452"/>
    <w:rsid w:val="006B7D70"/>
    <w:rsid w:val="006C0F54"/>
    <w:rsid w:val="006D0186"/>
    <w:rsid w:val="006D38C5"/>
    <w:rsid w:val="006D6F97"/>
    <w:rsid w:val="006E101E"/>
    <w:rsid w:val="006E26A7"/>
    <w:rsid w:val="006E3E69"/>
    <w:rsid w:val="006E435B"/>
    <w:rsid w:val="006E7F6E"/>
    <w:rsid w:val="00702289"/>
    <w:rsid w:val="007044CF"/>
    <w:rsid w:val="00705DF7"/>
    <w:rsid w:val="007066F9"/>
    <w:rsid w:val="0071304E"/>
    <w:rsid w:val="00723424"/>
    <w:rsid w:val="00724027"/>
    <w:rsid w:val="00732344"/>
    <w:rsid w:val="0073237B"/>
    <w:rsid w:val="00735C3A"/>
    <w:rsid w:val="00737C11"/>
    <w:rsid w:val="0074171E"/>
    <w:rsid w:val="00745C2D"/>
    <w:rsid w:val="0075352E"/>
    <w:rsid w:val="00760229"/>
    <w:rsid w:val="00763AEE"/>
    <w:rsid w:val="00765BDC"/>
    <w:rsid w:val="00766932"/>
    <w:rsid w:val="00771D49"/>
    <w:rsid w:val="00777889"/>
    <w:rsid w:val="00780F3A"/>
    <w:rsid w:val="0078507D"/>
    <w:rsid w:val="007906DE"/>
    <w:rsid w:val="007916AA"/>
    <w:rsid w:val="00791746"/>
    <w:rsid w:val="007973CB"/>
    <w:rsid w:val="007A2B3A"/>
    <w:rsid w:val="007B0CC5"/>
    <w:rsid w:val="007B4EDC"/>
    <w:rsid w:val="007C15F2"/>
    <w:rsid w:val="007C2154"/>
    <w:rsid w:val="007C5F29"/>
    <w:rsid w:val="007D1C64"/>
    <w:rsid w:val="007F5EB0"/>
    <w:rsid w:val="00800A27"/>
    <w:rsid w:val="008048DC"/>
    <w:rsid w:val="00805059"/>
    <w:rsid w:val="00805BDA"/>
    <w:rsid w:val="00814E60"/>
    <w:rsid w:val="008200F7"/>
    <w:rsid w:val="00821ADB"/>
    <w:rsid w:val="00827F3E"/>
    <w:rsid w:val="008358C9"/>
    <w:rsid w:val="00855DF5"/>
    <w:rsid w:val="00861180"/>
    <w:rsid w:val="0087290B"/>
    <w:rsid w:val="008959CE"/>
    <w:rsid w:val="00896AB7"/>
    <w:rsid w:val="0089711A"/>
    <w:rsid w:val="008A57B7"/>
    <w:rsid w:val="008A6144"/>
    <w:rsid w:val="008B01AA"/>
    <w:rsid w:val="008B22ED"/>
    <w:rsid w:val="008B59EE"/>
    <w:rsid w:val="008B5ED6"/>
    <w:rsid w:val="008B622B"/>
    <w:rsid w:val="008B68E5"/>
    <w:rsid w:val="008C663A"/>
    <w:rsid w:val="008D1DB4"/>
    <w:rsid w:val="008D4C07"/>
    <w:rsid w:val="008E1094"/>
    <w:rsid w:val="008E6615"/>
    <w:rsid w:val="008F1060"/>
    <w:rsid w:val="008F2B00"/>
    <w:rsid w:val="008F5A08"/>
    <w:rsid w:val="008F6000"/>
    <w:rsid w:val="00900519"/>
    <w:rsid w:val="00906330"/>
    <w:rsid w:val="00907E9C"/>
    <w:rsid w:val="00912656"/>
    <w:rsid w:val="00917C3E"/>
    <w:rsid w:val="00924FDE"/>
    <w:rsid w:val="00932927"/>
    <w:rsid w:val="009347E8"/>
    <w:rsid w:val="00934BAE"/>
    <w:rsid w:val="00936415"/>
    <w:rsid w:val="009412C8"/>
    <w:rsid w:val="00946530"/>
    <w:rsid w:val="009468D5"/>
    <w:rsid w:val="0095390C"/>
    <w:rsid w:val="00964A49"/>
    <w:rsid w:val="009755EB"/>
    <w:rsid w:val="00976370"/>
    <w:rsid w:val="00987D45"/>
    <w:rsid w:val="009931E4"/>
    <w:rsid w:val="0099640B"/>
    <w:rsid w:val="009A1B8C"/>
    <w:rsid w:val="009A4AEE"/>
    <w:rsid w:val="009A58CB"/>
    <w:rsid w:val="009B182F"/>
    <w:rsid w:val="009B2ECF"/>
    <w:rsid w:val="009B534E"/>
    <w:rsid w:val="009B69B0"/>
    <w:rsid w:val="009C5CE1"/>
    <w:rsid w:val="009C7459"/>
    <w:rsid w:val="009D2360"/>
    <w:rsid w:val="009D3380"/>
    <w:rsid w:val="009D46E0"/>
    <w:rsid w:val="009D5E57"/>
    <w:rsid w:val="009E1C40"/>
    <w:rsid w:val="009E60AD"/>
    <w:rsid w:val="009E6CB6"/>
    <w:rsid w:val="009F55A2"/>
    <w:rsid w:val="00A01E4B"/>
    <w:rsid w:val="00A10022"/>
    <w:rsid w:val="00A10499"/>
    <w:rsid w:val="00A16874"/>
    <w:rsid w:val="00A1727E"/>
    <w:rsid w:val="00A2141A"/>
    <w:rsid w:val="00A30670"/>
    <w:rsid w:val="00A45F3E"/>
    <w:rsid w:val="00A514C5"/>
    <w:rsid w:val="00A5292F"/>
    <w:rsid w:val="00A56967"/>
    <w:rsid w:val="00A67D9E"/>
    <w:rsid w:val="00A714CC"/>
    <w:rsid w:val="00A80279"/>
    <w:rsid w:val="00A81B02"/>
    <w:rsid w:val="00A922FA"/>
    <w:rsid w:val="00A925A4"/>
    <w:rsid w:val="00A92AC4"/>
    <w:rsid w:val="00A94CD3"/>
    <w:rsid w:val="00A9707C"/>
    <w:rsid w:val="00AA1026"/>
    <w:rsid w:val="00AA2604"/>
    <w:rsid w:val="00AA66E8"/>
    <w:rsid w:val="00AB3FE7"/>
    <w:rsid w:val="00AB597E"/>
    <w:rsid w:val="00AB5B2D"/>
    <w:rsid w:val="00AC06FF"/>
    <w:rsid w:val="00AC1FB9"/>
    <w:rsid w:val="00AC284C"/>
    <w:rsid w:val="00AC4E67"/>
    <w:rsid w:val="00AC54C2"/>
    <w:rsid w:val="00AD1E81"/>
    <w:rsid w:val="00AD29A8"/>
    <w:rsid w:val="00AD4C17"/>
    <w:rsid w:val="00AD4D90"/>
    <w:rsid w:val="00AD563C"/>
    <w:rsid w:val="00AD5D9D"/>
    <w:rsid w:val="00AE005C"/>
    <w:rsid w:val="00AE6FDF"/>
    <w:rsid w:val="00AF1798"/>
    <w:rsid w:val="00AF41E9"/>
    <w:rsid w:val="00AF544E"/>
    <w:rsid w:val="00B0003A"/>
    <w:rsid w:val="00B05545"/>
    <w:rsid w:val="00B067BF"/>
    <w:rsid w:val="00B06D02"/>
    <w:rsid w:val="00B1142D"/>
    <w:rsid w:val="00B259D9"/>
    <w:rsid w:val="00B25DD1"/>
    <w:rsid w:val="00B2653B"/>
    <w:rsid w:val="00B269FA"/>
    <w:rsid w:val="00B357F2"/>
    <w:rsid w:val="00B370A4"/>
    <w:rsid w:val="00B42661"/>
    <w:rsid w:val="00B75073"/>
    <w:rsid w:val="00B760BF"/>
    <w:rsid w:val="00B85581"/>
    <w:rsid w:val="00B8660A"/>
    <w:rsid w:val="00B86E3E"/>
    <w:rsid w:val="00B94FAC"/>
    <w:rsid w:val="00BA156B"/>
    <w:rsid w:val="00BA35E1"/>
    <w:rsid w:val="00BA394C"/>
    <w:rsid w:val="00BC1ED8"/>
    <w:rsid w:val="00BC242B"/>
    <w:rsid w:val="00BD35F4"/>
    <w:rsid w:val="00BD546B"/>
    <w:rsid w:val="00BD6160"/>
    <w:rsid w:val="00BF0B95"/>
    <w:rsid w:val="00C114A4"/>
    <w:rsid w:val="00C24B4D"/>
    <w:rsid w:val="00C27D12"/>
    <w:rsid w:val="00C31D2C"/>
    <w:rsid w:val="00C32203"/>
    <w:rsid w:val="00C35170"/>
    <w:rsid w:val="00C357E0"/>
    <w:rsid w:val="00C40FCE"/>
    <w:rsid w:val="00C42549"/>
    <w:rsid w:val="00C43E08"/>
    <w:rsid w:val="00C51B2C"/>
    <w:rsid w:val="00C56994"/>
    <w:rsid w:val="00C61335"/>
    <w:rsid w:val="00C650CB"/>
    <w:rsid w:val="00C6743F"/>
    <w:rsid w:val="00C71E3E"/>
    <w:rsid w:val="00C73A30"/>
    <w:rsid w:val="00C74B83"/>
    <w:rsid w:val="00C778C1"/>
    <w:rsid w:val="00C8398B"/>
    <w:rsid w:val="00C84E08"/>
    <w:rsid w:val="00C90860"/>
    <w:rsid w:val="00C956E1"/>
    <w:rsid w:val="00CA0AF9"/>
    <w:rsid w:val="00CB4228"/>
    <w:rsid w:val="00CB42B1"/>
    <w:rsid w:val="00CC1B53"/>
    <w:rsid w:val="00CC4943"/>
    <w:rsid w:val="00CD1B10"/>
    <w:rsid w:val="00CD2051"/>
    <w:rsid w:val="00CE2B01"/>
    <w:rsid w:val="00CF42E2"/>
    <w:rsid w:val="00CF4772"/>
    <w:rsid w:val="00CF60B0"/>
    <w:rsid w:val="00CF7738"/>
    <w:rsid w:val="00D0655F"/>
    <w:rsid w:val="00D07ADC"/>
    <w:rsid w:val="00D17009"/>
    <w:rsid w:val="00D20AB8"/>
    <w:rsid w:val="00D21BCC"/>
    <w:rsid w:val="00D25735"/>
    <w:rsid w:val="00D25945"/>
    <w:rsid w:val="00D26ABF"/>
    <w:rsid w:val="00D31C19"/>
    <w:rsid w:val="00D321D2"/>
    <w:rsid w:val="00D51024"/>
    <w:rsid w:val="00D5188D"/>
    <w:rsid w:val="00D57627"/>
    <w:rsid w:val="00D61CE6"/>
    <w:rsid w:val="00D6259A"/>
    <w:rsid w:val="00D66E3F"/>
    <w:rsid w:val="00D73FD7"/>
    <w:rsid w:val="00D8529F"/>
    <w:rsid w:val="00DB03F1"/>
    <w:rsid w:val="00DB081A"/>
    <w:rsid w:val="00DB5F2B"/>
    <w:rsid w:val="00DB64F6"/>
    <w:rsid w:val="00DD6C44"/>
    <w:rsid w:val="00DE5454"/>
    <w:rsid w:val="00DE71D4"/>
    <w:rsid w:val="00DF2066"/>
    <w:rsid w:val="00DF33AD"/>
    <w:rsid w:val="00DF6CCF"/>
    <w:rsid w:val="00DF6DF0"/>
    <w:rsid w:val="00E00F0A"/>
    <w:rsid w:val="00E027A8"/>
    <w:rsid w:val="00E10F2E"/>
    <w:rsid w:val="00E23466"/>
    <w:rsid w:val="00E23AB6"/>
    <w:rsid w:val="00E2499B"/>
    <w:rsid w:val="00E26D0E"/>
    <w:rsid w:val="00E36138"/>
    <w:rsid w:val="00E52667"/>
    <w:rsid w:val="00E57726"/>
    <w:rsid w:val="00E60BE1"/>
    <w:rsid w:val="00E6191E"/>
    <w:rsid w:val="00E61B45"/>
    <w:rsid w:val="00E630C7"/>
    <w:rsid w:val="00E835AA"/>
    <w:rsid w:val="00E97F37"/>
    <w:rsid w:val="00EA06EF"/>
    <w:rsid w:val="00EA0BEA"/>
    <w:rsid w:val="00EA38A1"/>
    <w:rsid w:val="00EA7351"/>
    <w:rsid w:val="00EC374E"/>
    <w:rsid w:val="00ED6D2B"/>
    <w:rsid w:val="00EE0C5B"/>
    <w:rsid w:val="00EE26B0"/>
    <w:rsid w:val="00EF28C2"/>
    <w:rsid w:val="00EF3F7C"/>
    <w:rsid w:val="00EF53F3"/>
    <w:rsid w:val="00EF60EF"/>
    <w:rsid w:val="00EF76EC"/>
    <w:rsid w:val="00F0502F"/>
    <w:rsid w:val="00F20C83"/>
    <w:rsid w:val="00F219FC"/>
    <w:rsid w:val="00F23EA9"/>
    <w:rsid w:val="00F25D9B"/>
    <w:rsid w:val="00F4549F"/>
    <w:rsid w:val="00F46D27"/>
    <w:rsid w:val="00F47887"/>
    <w:rsid w:val="00F50441"/>
    <w:rsid w:val="00F634C3"/>
    <w:rsid w:val="00F73DCE"/>
    <w:rsid w:val="00F77FEC"/>
    <w:rsid w:val="00F81781"/>
    <w:rsid w:val="00F84F20"/>
    <w:rsid w:val="00F94724"/>
    <w:rsid w:val="00F947FD"/>
    <w:rsid w:val="00F975DB"/>
    <w:rsid w:val="00F97AAD"/>
    <w:rsid w:val="00FA01F7"/>
    <w:rsid w:val="00FA4927"/>
    <w:rsid w:val="00FB400B"/>
    <w:rsid w:val="00FB5B8D"/>
    <w:rsid w:val="00FC06C9"/>
    <w:rsid w:val="00FC1E76"/>
    <w:rsid w:val="00FC3A0E"/>
    <w:rsid w:val="00FD6D6E"/>
    <w:rsid w:val="00FE5704"/>
    <w:rsid w:val="00FF12DA"/>
    <w:rsid w:val="0792343B"/>
    <w:rsid w:val="1E1249D3"/>
    <w:rsid w:val="424A6D36"/>
    <w:rsid w:val="45AC1953"/>
    <w:rsid w:val="613A4380"/>
    <w:rsid w:val="72ED5D94"/>
    <w:rsid w:val="7A291869"/>
    <w:rsid w:val="7AF711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60CE699-A97C-4B50-993D-71440C9C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szCs w:val="21"/>
    </w:rPr>
  </w:style>
  <w:style w:type="paragraph" w:styleId="a4">
    <w:name w:val="Date"/>
    <w:basedOn w:val="a"/>
    <w:next w:val="a"/>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character" w:styleId="a9">
    <w:name w:val="Strong"/>
    <w:qFormat/>
    <w:rPr>
      <w:b/>
      <w:bCs/>
    </w:rPr>
  </w:style>
  <w:style w:type="character" w:styleId="aa">
    <w:name w:val="page number"/>
    <w:basedOn w:val="a0"/>
    <w:qFormat/>
  </w:style>
  <w:style w:type="character" w:customStyle="1" w:styleId="Char2">
    <w:name w:val="页眉 Char"/>
    <w:link w:val="a7"/>
    <w:qFormat/>
    <w:rPr>
      <w:kern w:val="2"/>
      <w:sz w:val="18"/>
      <w:szCs w:val="18"/>
    </w:rPr>
  </w:style>
  <w:style w:type="character" w:customStyle="1" w:styleId="Char1">
    <w:name w:val="页脚 Char"/>
    <w:link w:val="a6"/>
    <w:uiPriority w:val="99"/>
    <w:qFormat/>
    <w:rPr>
      <w:kern w:val="2"/>
      <w:sz w:val="18"/>
      <w:szCs w:val="18"/>
    </w:rPr>
  </w:style>
  <w:style w:type="character" w:customStyle="1" w:styleId="1Char">
    <w:name w:val="标题 1 Char"/>
    <w:basedOn w:val="a0"/>
    <w:link w:val="1"/>
    <w:qFormat/>
    <w:rPr>
      <w:rFonts w:ascii="Calibri" w:hAnsi="Calibri"/>
      <w:b/>
      <w:bCs/>
      <w:kern w:val="44"/>
      <w:sz w:val="44"/>
      <w:szCs w:val="44"/>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qFormat/>
    <w:rPr>
      <w:rFonts w:ascii="宋体" w:hAnsi="Courier New"/>
      <w:kern w:val="2"/>
      <w:sz w:val="21"/>
      <w:szCs w:val="21"/>
    </w:rPr>
  </w:style>
  <w:style w:type="character" w:customStyle="1" w:styleId="Char0">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8ABAB-3410-4390-8690-822AAAAD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484</Words>
  <Characters>2762</Characters>
  <Application>Microsoft Office Word</Application>
  <DocSecurity>0</DocSecurity>
  <Lines>23</Lines>
  <Paragraphs>6</Paragraphs>
  <ScaleCrop>false</ScaleCrop>
  <Company>MC SYSTEM</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西建大（2008）276号                  签发人：王晓昌</dc:title>
  <dc:creator>admin</dc:creator>
  <cp:lastModifiedBy>Administrator</cp:lastModifiedBy>
  <cp:revision>7</cp:revision>
  <cp:lastPrinted>2017-10-31T03:55:00Z</cp:lastPrinted>
  <dcterms:created xsi:type="dcterms:W3CDTF">2017-10-27T02:10:00Z</dcterms:created>
  <dcterms:modified xsi:type="dcterms:W3CDTF">2017-10-31T03:56:00Z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